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9DC" w:rsidRPr="00AA49DC" w:rsidRDefault="00AA49DC" w:rsidP="00AA49DC">
      <w:pPr>
        <w:rPr>
          <w:rFonts w:ascii="Calibri" w:eastAsia="Times New Roman" w:hAnsi="Calibri" w:cs="Calibri"/>
          <w:b/>
          <w:color w:val="000000"/>
          <w:sz w:val="22"/>
          <w:szCs w:val="22"/>
        </w:rPr>
      </w:pPr>
      <w:r w:rsidRPr="00AA49DC">
        <w:rPr>
          <w:rFonts w:ascii="Calibri" w:eastAsia="Times New Roman" w:hAnsi="Calibri" w:cs="Calibri"/>
          <w:b/>
          <w:color w:val="000000"/>
          <w:sz w:val="22"/>
          <w:szCs w:val="22"/>
        </w:rPr>
        <w:t xml:space="preserve">Project Objective(s): </w:t>
      </w:r>
    </w:p>
    <w:p w:rsidR="00AA49DC" w:rsidRPr="00AA49DC" w:rsidRDefault="00AA49DC" w:rsidP="00AA49DC">
      <w:pPr>
        <w:rPr>
          <w:rFonts w:ascii="Times New Roman" w:eastAsia="Times New Roman" w:hAnsi="Times New Roman" w:cs="Times New Roman"/>
        </w:rPr>
      </w:pPr>
      <w:r w:rsidRPr="00AA49DC">
        <w:rPr>
          <w:rFonts w:ascii="Calibri" w:eastAsia="Times New Roman" w:hAnsi="Calibri" w:cs="Calibri"/>
          <w:color w:val="000000"/>
          <w:sz w:val="22"/>
          <w:szCs w:val="22"/>
        </w:rPr>
        <w:t>The objective of this proposed project is to evaluate different flood mitigation efforts in terms of the community costs of measures such as residential buyouts or elevation of structures.  For years, home buyout programs have been promoted to remove individuals and their homes from risk of flooding by local practitioners and federal agencies.  However, due to limited funds and criteria, this type of approach can often lead to a checkerboard effect in neighborhoods that have experienced flooding.  When enough residents leave, the social fabric of the community can break down, the tax base for supporting schools and maintain infrastructure also leaves.  In rural communities, this loss of community members can be significant, but elevating or relocating structures to maintain the community is often overlooked.  In this study, we will utilize agent-based models and empirical data from select communities where significant buyouts have taken place to simulate and estimate the extent to which buyouts may actually negatively affect community resilience. We will also examine the extent to which community size and ruralness may contribute to this phenomenon.</w:t>
      </w:r>
    </w:p>
    <w:p w:rsidR="00513FAF" w:rsidRDefault="00513FAF"/>
    <w:p w:rsidR="00AA49DC" w:rsidRPr="00AA49DC" w:rsidRDefault="00AA49DC" w:rsidP="00AA49DC">
      <w:pPr>
        <w:rPr>
          <w:rFonts w:ascii="Calibri" w:eastAsia="Times New Roman" w:hAnsi="Calibri" w:cs="Calibri"/>
          <w:b/>
          <w:color w:val="000000"/>
          <w:sz w:val="22"/>
          <w:szCs w:val="22"/>
        </w:rPr>
      </w:pPr>
      <w:r w:rsidRPr="00AA49DC">
        <w:rPr>
          <w:rFonts w:ascii="Calibri" w:eastAsia="Times New Roman" w:hAnsi="Calibri" w:cs="Calibri"/>
          <w:b/>
          <w:color w:val="000000"/>
          <w:sz w:val="22"/>
          <w:szCs w:val="22"/>
        </w:rPr>
        <w:t xml:space="preserve">Project Milestones: </w:t>
      </w:r>
    </w:p>
    <w:p w:rsidR="00AA49DC" w:rsidRDefault="00AA49DC" w:rsidP="00AA49DC">
      <w:pPr>
        <w:rPr>
          <w:rFonts w:ascii="Calibri" w:eastAsia="Times New Roman" w:hAnsi="Calibri" w:cs="Calibri"/>
          <w:color w:val="000000"/>
          <w:sz w:val="22"/>
          <w:szCs w:val="22"/>
        </w:rPr>
      </w:pPr>
      <w:r w:rsidRPr="00AA49DC">
        <w:rPr>
          <w:rFonts w:ascii="Calibri" w:eastAsia="Times New Roman" w:hAnsi="Calibri" w:cs="Calibri"/>
          <w:color w:val="000000"/>
          <w:sz w:val="22"/>
          <w:szCs w:val="22"/>
        </w:rPr>
        <w:t>The project will have four key parts. In the first phase, we will perform a literature review and gather case studies of buyout and other flood mitigation programs across both urban and rural communities including any available data on the buyout and mitigation programs.  In the second phase, we will utilize GIS to map and develop social vulnerability scores for the communities pre- and post-event mitigation.  In the third phase, we will develop an agent-based model and use it to simulate and evaluate the mitigation options and estimate the social fabric/connectedness and economic impacts of the mitigation efforts.  The final phase includes documentation of the project methodology and findings as both a final report and peer reviewed journal paper for publication.  We anticipate that the results will also be presented at an appropriate conference.</w:t>
      </w:r>
    </w:p>
    <w:p w:rsidR="00AA49DC" w:rsidRDefault="00AA49DC" w:rsidP="00AA49DC">
      <w:pPr>
        <w:rPr>
          <w:rFonts w:ascii="Calibri" w:eastAsia="Times New Roman" w:hAnsi="Calibri" w:cs="Calibri"/>
          <w:color w:val="000000"/>
          <w:sz w:val="22"/>
          <w:szCs w:val="22"/>
        </w:rPr>
      </w:pPr>
    </w:p>
    <w:p w:rsidR="00AA49DC" w:rsidRDefault="00AA49DC" w:rsidP="00AA49DC">
      <w:pPr>
        <w:rPr>
          <w:rFonts w:ascii="Calibri" w:eastAsia="Times New Roman" w:hAnsi="Calibri" w:cs="Calibri"/>
          <w:color w:val="000000"/>
          <w:sz w:val="22"/>
          <w:szCs w:val="22"/>
        </w:rPr>
      </w:pPr>
    </w:p>
    <w:p w:rsidR="00AA49DC" w:rsidRDefault="00AA49DC" w:rsidP="00AA49DC">
      <w:pPr>
        <w:rPr>
          <w:rFonts w:ascii="Calibri" w:eastAsia="Times New Roman" w:hAnsi="Calibri" w:cs="Calibri"/>
          <w:color w:val="000000"/>
          <w:sz w:val="22"/>
          <w:szCs w:val="22"/>
        </w:rPr>
      </w:pPr>
    </w:p>
    <w:p w:rsidR="00AA49DC" w:rsidRPr="00AA49DC" w:rsidRDefault="00AA49DC" w:rsidP="00AA49DC">
      <w:pPr>
        <w:rPr>
          <w:rFonts w:ascii="Times New Roman" w:eastAsia="Times New Roman" w:hAnsi="Times New Roman" w:cs="Times New Roman"/>
        </w:rPr>
      </w:pPr>
      <w:bookmarkStart w:id="0" w:name="_GoBack"/>
      <w:bookmarkEnd w:id="0"/>
    </w:p>
    <w:p w:rsidR="00AA49DC" w:rsidRDefault="00AA49DC"/>
    <w:sectPr w:rsidR="00AA49DC" w:rsidSect="00D1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9DC"/>
    <w:rsid w:val="0006298F"/>
    <w:rsid w:val="000F44B5"/>
    <w:rsid w:val="00283300"/>
    <w:rsid w:val="00513FAF"/>
    <w:rsid w:val="005E1E1C"/>
    <w:rsid w:val="005F1D06"/>
    <w:rsid w:val="00725E63"/>
    <w:rsid w:val="008A5C7A"/>
    <w:rsid w:val="00970719"/>
    <w:rsid w:val="00A573C5"/>
    <w:rsid w:val="00A753B8"/>
    <w:rsid w:val="00AA49DC"/>
    <w:rsid w:val="00B5547F"/>
    <w:rsid w:val="00C87AA7"/>
    <w:rsid w:val="00CD02FF"/>
    <w:rsid w:val="00D12A47"/>
    <w:rsid w:val="00EC6D80"/>
    <w:rsid w:val="00F1338A"/>
    <w:rsid w:val="00FD1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5A8B5B"/>
  <w15:chartTrackingRefBased/>
  <w15:docId w15:val="{E3221C5F-5E55-5F46-A98A-05E23A21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85019">
      <w:bodyDiv w:val="1"/>
      <w:marLeft w:val="0"/>
      <w:marRight w:val="0"/>
      <w:marTop w:val="0"/>
      <w:marBottom w:val="0"/>
      <w:divBdr>
        <w:top w:val="none" w:sz="0" w:space="0" w:color="auto"/>
        <w:left w:val="none" w:sz="0" w:space="0" w:color="auto"/>
        <w:bottom w:val="none" w:sz="0" w:space="0" w:color="auto"/>
        <w:right w:val="none" w:sz="0" w:space="0" w:color="auto"/>
      </w:divBdr>
    </w:div>
    <w:div w:id="195856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Bowen</dc:creator>
  <cp:keywords/>
  <dc:description/>
  <cp:lastModifiedBy>He, Bowen</cp:lastModifiedBy>
  <cp:revision>1</cp:revision>
  <dcterms:created xsi:type="dcterms:W3CDTF">2020-06-25T06:04:00Z</dcterms:created>
  <dcterms:modified xsi:type="dcterms:W3CDTF">2020-06-25T06:06:00Z</dcterms:modified>
</cp:coreProperties>
</file>