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5441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Clinical Study Protocol (CSP)</w:t>
      </w:r>
    </w:p>
    <w:p w14:paraId="59C60785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Title: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Phase 2, Randomized, Double-Blind, Placebo-Controlled, Multi-Center Study to Evaluate the Safety and Efficacy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) in Patients with Hypercholesterolemia</w:t>
      </w:r>
    </w:p>
    <w:p w14:paraId="1D1B6537" w14:textId="7E2B17A3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NSP-002-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February 15, 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3F06B809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Pharmaceuticals Inc.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1234 Innovation Drive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Biotech City, State, Country</w:t>
      </w:r>
    </w:p>
    <w:p w14:paraId="7FCF0EED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Investigational Drug: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(Trade Name: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A novel statin designed for low-dosage administration to reduce high cholesterol while minimizing severe side effects.</w:t>
      </w:r>
    </w:p>
    <w:p w14:paraId="457C9C40" w14:textId="23B6FA3D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March 2, 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58830A5B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5FDB4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6312D5C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17A5F645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and Rationale</w:t>
      </w:r>
    </w:p>
    <w:p w14:paraId="54E5725B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Objectives and Endpoints</w:t>
      </w:r>
    </w:p>
    <w:p w14:paraId="0160FD3B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Design and Methodology</w:t>
      </w:r>
    </w:p>
    <w:p w14:paraId="00DF70B1" w14:textId="77777777" w:rsidR="004D3516" w:rsidRPr="004D3516" w:rsidRDefault="004D3516" w:rsidP="004D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3.1 Study Population</w:t>
      </w:r>
    </w:p>
    <w:p w14:paraId="16F2E8E2" w14:textId="77777777" w:rsidR="004D3516" w:rsidRPr="004D3516" w:rsidRDefault="004D3516" w:rsidP="004D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3.2 Inclusion/Exclusion Criteria</w:t>
      </w:r>
    </w:p>
    <w:p w14:paraId="7FDCD603" w14:textId="77777777" w:rsidR="004D3516" w:rsidRPr="004D3516" w:rsidRDefault="004D3516" w:rsidP="004D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3.3 Treatment Regimens and Randomization</w:t>
      </w:r>
    </w:p>
    <w:p w14:paraId="560B3394" w14:textId="77777777" w:rsidR="004D3516" w:rsidRPr="004D3516" w:rsidRDefault="004D3516" w:rsidP="004D3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3.4 Study Procedures and Schedule of Assessments</w:t>
      </w:r>
    </w:p>
    <w:p w14:paraId="06C68804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Considerations</w:t>
      </w:r>
    </w:p>
    <w:p w14:paraId="095CAD5D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and Efficacy Assessments</w:t>
      </w:r>
    </w:p>
    <w:p w14:paraId="43738D32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Considerations</w:t>
      </w:r>
    </w:p>
    <w:p w14:paraId="42FC8AC9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Organization and Responsibilities</w:t>
      </w:r>
    </w:p>
    <w:p w14:paraId="6D650FC4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and Quality Assurance</w:t>
      </w:r>
    </w:p>
    <w:p w14:paraId="591ACEBC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Timeline and Milestones</w:t>
      </w:r>
    </w:p>
    <w:p w14:paraId="7479D7CA" w14:textId="77777777" w:rsidR="004D3516" w:rsidRPr="004D3516" w:rsidRDefault="004D3516" w:rsidP="004D3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and Next Steps</w:t>
      </w:r>
    </w:p>
    <w:p w14:paraId="015843E4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6C25C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2313DB2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Background and Rationale</w:t>
      </w:r>
    </w:p>
    <w:p w14:paraId="2618B487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Hypercholesterolemia remains a significant risk factor for cardiovascular diseases. Statins have proven effective in lowering low-density lipoprotein (LDL) cholesterol; however, higher dosages are frequently associated with adverse effects such as myopathy and liver enzyme elevations.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) is a novel statin formulated to be effective at low dosages, potentially reducing the severity and incidence of side effects. Preclinical studies and early-phase trials have demonstrated promising lipid-lowering effects with an improved safety profile. This Phase 2 trial aims to further evaluate the efficacy and safety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placebo in patients with moderate to severe hypercholesterolemia.</w:t>
      </w:r>
    </w:p>
    <w:p w14:paraId="1CD25C60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F3491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2E88FB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Study Objectives and Endpoints</w:t>
      </w:r>
    </w:p>
    <w:p w14:paraId="0D49ECED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Objective</w:t>
      </w:r>
    </w:p>
    <w:p w14:paraId="6812F2E6" w14:textId="77777777" w:rsidR="004D3516" w:rsidRPr="004D3516" w:rsidRDefault="004D3516" w:rsidP="004D3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Efficacy: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To assess the percentage change in LDL cholesterol from baseline to Week 24 in patients treated with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versus placebo.</w:t>
      </w:r>
    </w:p>
    <w:p w14:paraId="39FD413D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Secondary Objectives</w:t>
      </w:r>
    </w:p>
    <w:p w14:paraId="43BC9947" w14:textId="77777777" w:rsidR="004D3516" w:rsidRPr="004D3516" w:rsidRDefault="004D3516" w:rsidP="004D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To evaluate the effect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on total cholesterol, high-density lipoprotein (HDL) cholesterol, and triglycerides.</w:t>
      </w:r>
    </w:p>
    <w:p w14:paraId="355103A6" w14:textId="77777777" w:rsidR="004D3516" w:rsidRPr="004D3516" w:rsidRDefault="004D3516" w:rsidP="004D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To assess the safety and tolerability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, with particular attention to muscle and liver-related adverse events.</w:t>
      </w:r>
    </w:p>
    <w:p w14:paraId="0005BC65" w14:textId="77777777" w:rsidR="004D3516" w:rsidRPr="004D3516" w:rsidRDefault="004D3516" w:rsidP="004D3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To evaluate the pharmacokinetic (PK) profile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190DEF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Exploratory Objectives</w:t>
      </w:r>
    </w:p>
    <w:p w14:paraId="17388037" w14:textId="77777777" w:rsidR="004D3516" w:rsidRPr="004D3516" w:rsidRDefault="004D3516" w:rsidP="004D3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To assess biomarkers of inflammation and endothelial function.</w:t>
      </w:r>
    </w:p>
    <w:p w14:paraId="6D9B7EF1" w14:textId="77777777" w:rsidR="004D3516" w:rsidRPr="004D3516" w:rsidRDefault="004D3516" w:rsidP="004D3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To evaluate quality-of-life changes as measured by validated questionnaires.</w:t>
      </w:r>
    </w:p>
    <w:p w14:paraId="0161CFE7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Endpoints</w:t>
      </w:r>
    </w:p>
    <w:p w14:paraId="2071770F" w14:textId="77777777" w:rsidR="004D3516" w:rsidRPr="004D3516" w:rsidRDefault="004D3516" w:rsidP="004D3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Endpoint:</w:t>
      </w:r>
    </w:p>
    <w:p w14:paraId="3BF13F63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Mean percentage reduction in LDL cholesterol at Week 24 compared to baseline.</w:t>
      </w:r>
    </w:p>
    <w:p w14:paraId="31197C24" w14:textId="77777777" w:rsidR="004D3516" w:rsidRPr="004D3516" w:rsidRDefault="004D3516" w:rsidP="004D3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Endpoints:</w:t>
      </w:r>
    </w:p>
    <w:p w14:paraId="39BC31AB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Changes in total cholesterol, HDL, and triglyceride levels.</w:t>
      </w:r>
    </w:p>
    <w:p w14:paraId="03CA36A1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Incidence and severity of adverse events (AEs) and serious adverse events (SAEs).</w:t>
      </w:r>
    </w:p>
    <w:p w14:paraId="7F9E793A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PK parameters including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C_max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T_max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, and AUC.</w:t>
      </w:r>
    </w:p>
    <w:p w14:paraId="7D9DB5DB" w14:textId="77777777" w:rsidR="004D3516" w:rsidRPr="004D3516" w:rsidRDefault="004D3516" w:rsidP="004D3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Endpoints:</w:t>
      </w:r>
    </w:p>
    <w:p w14:paraId="26568247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Changes in inflammatory biomarkers (e.g., C-reactive protein).</w:t>
      </w:r>
    </w:p>
    <w:p w14:paraId="5FD0B109" w14:textId="77777777" w:rsidR="004D3516" w:rsidRPr="004D3516" w:rsidRDefault="004D3516" w:rsidP="004D35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Quality-of-life assessment scores.</w:t>
      </w:r>
    </w:p>
    <w:p w14:paraId="64249EE7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7470D5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F0EEB0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Study Design and Methodology</w:t>
      </w:r>
    </w:p>
    <w:p w14:paraId="1501CFEC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Study Population</w:t>
      </w:r>
    </w:p>
    <w:p w14:paraId="01925F7D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This trial will enroll approximately 200 adult patients (aged 18–75 years) with a documented diagnosis of hypercholesterolemia who have not achieved target LDL levels with diet and lifestyle modifications alone. Subjects must provide written informed consent.</w:t>
      </w:r>
    </w:p>
    <w:p w14:paraId="6765EE36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Inclusion Criteria</w:t>
      </w:r>
    </w:p>
    <w:p w14:paraId="4C708979" w14:textId="77777777" w:rsidR="004D3516" w:rsidRPr="004D3516" w:rsidRDefault="004D3516" w:rsidP="004D3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Diagnosed with hypercholesterolemia (LDL ≥ 130 mg/dL).</w:t>
      </w:r>
    </w:p>
    <w:p w14:paraId="1456D5EE" w14:textId="77777777" w:rsidR="004D3516" w:rsidRPr="004D3516" w:rsidRDefault="004D3516" w:rsidP="004D3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Body Mass Index (BMI) between 18 and 35 kg/m².</w:t>
      </w:r>
    </w:p>
    <w:p w14:paraId="6259BF4F" w14:textId="77777777" w:rsidR="004D3516" w:rsidRPr="004D3516" w:rsidRDefault="004D3516" w:rsidP="004D3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Able to provide informed consent and comply with study procedures.</w:t>
      </w:r>
    </w:p>
    <w:p w14:paraId="280D2E37" w14:textId="77777777" w:rsidR="004D3516" w:rsidRPr="004D3516" w:rsidRDefault="004D3516" w:rsidP="004D3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Stable concomitant medications for at least 30 days prior to screening.</w:t>
      </w:r>
    </w:p>
    <w:p w14:paraId="1CB2B8C4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Exclusion Criteria</w:t>
      </w:r>
    </w:p>
    <w:p w14:paraId="0F67074E" w14:textId="77777777" w:rsidR="004D3516" w:rsidRPr="004D3516" w:rsidRDefault="004D3516" w:rsidP="004D3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History of statin intolerance or hypersensitivity to statins.</w:t>
      </w:r>
    </w:p>
    <w:p w14:paraId="7E8FF57A" w14:textId="77777777" w:rsidR="004D3516" w:rsidRPr="004D3516" w:rsidRDefault="004D3516" w:rsidP="004D3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Active liver disease or ALT/AST &gt;3× upper limit of normal.</w:t>
      </w:r>
    </w:p>
    <w:p w14:paraId="73C947B9" w14:textId="77777777" w:rsidR="004D3516" w:rsidRPr="004D3516" w:rsidRDefault="004D3516" w:rsidP="004D3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Severe renal impairment (eGFR &lt;30 mL/min/1.73 m²).</w:t>
      </w:r>
    </w:p>
    <w:p w14:paraId="0BD16E89" w14:textId="77777777" w:rsidR="004D3516" w:rsidRPr="004D3516" w:rsidRDefault="004D3516" w:rsidP="004D3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Recent history of myocardial infarction or stroke (within the last 6 months).</w:t>
      </w:r>
    </w:p>
    <w:p w14:paraId="7C8A27A7" w14:textId="77777777" w:rsidR="004D3516" w:rsidRPr="004D3516" w:rsidRDefault="004D3516" w:rsidP="004D3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Participation in another clinical trial within 30 days prior to screening.</w:t>
      </w:r>
    </w:p>
    <w:p w14:paraId="5B20201C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Treatment Regimens and Randomization</w:t>
      </w:r>
    </w:p>
    <w:p w14:paraId="7A7CC855" w14:textId="77777777" w:rsidR="004D3516" w:rsidRPr="004D3516" w:rsidRDefault="004D3516" w:rsidP="004D3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Randomization: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Eligible patients will be randomized in a 1:1 ratio to receive either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or matching placebo.</w:t>
      </w:r>
    </w:p>
    <w:p w14:paraId="201E4FE1" w14:textId="77777777" w:rsidR="004D3516" w:rsidRPr="004D3516" w:rsidRDefault="004D3516" w:rsidP="004D3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Arms:</w:t>
      </w:r>
    </w:p>
    <w:p w14:paraId="45EB2CE6" w14:textId="77777777" w:rsidR="004D3516" w:rsidRPr="004D3516" w:rsidRDefault="004D3516" w:rsidP="004D3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 A: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10 mg orally once daily.</w:t>
      </w:r>
    </w:p>
    <w:p w14:paraId="6A265C4D" w14:textId="77777777" w:rsidR="004D3516" w:rsidRPr="004D3516" w:rsidRDefault="004D3516" w:rsidP="004D3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 B: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Placebo orally once daily.</w:t>
      </w:r>
    </w:p>
    <w:p w14:paraId="5CAFF3A0" w14:textId="77777777" w:rsidR="004D3516" w:rsidRPr="004D3516" w:rsidRDefault="004D3516" w:rsidP="004D3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Blinding: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The study is double-blinded; both investigators and subjects will be unaware of the treatment assignments.</w:t>
      </w:r>
    </w:p>
    <w:p w14:paraId="6522326A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Study Procedures and Schedule of Assessments</w:t>
      </w:r>
    </w:p>
    <w:p w14:paraId="6BF4FEEC" w14:textId="77777777" w:rsidR="004D3516" w:rsidRPr="004D3516" w:rsidRDefault="004D3516" w:rsidP="004D3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Screening Phase (up to 4 weeks):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Baseline evaluations including medical history, physical examination, laboratory assessments (lipid profile, liver enzymes, CK levels), and ECG.</w:t>
      </w:r>
    </w:p>
    <w:p w14:paraId="30E48B96" w14:textId="77777777" w:rsidR="004D3516" w:rsidRPr="004D3516" w:rsidRDefault="004D3516" w:rsidP="004D3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Phase (24 weeks):</w:t>
      </w:r>
    </w:p>
    <w:p w14:paraId="4ACBC9E4" w14:textId="77777777" w:rsidR="004D3516" w:rsidRPr="004D3516" w:rsidRDefault="004D3516" w:rsidP="004D3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(Day 1):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Randomization and first dose administration.</w:t>
      </w:r>
    </w:p>
    <w:p w14:paraId="070D05D9" w14:textId="77777777" w:rsidR="004D3516" w:rsidRPr="004D3516" w:rsidRDefault="004D3516" w:rsidP="004D3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Visits:</w:t>
      </w:r>
    </w:p>
    <w:p w14:paraId="19A61D64" w14:textId="77777777" w:rsidR="004D3516" w:rsidRPr="004D3516" w:rsidRDefault="004D3516" w:rsidP="004D35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Week 4, Week 8, Week 12, Week 16, Week 20: Safety labs, vital signs, adverse event assessments, and compliance checks.</w:t>
      </w:r>
    </w:p>
    <w:p w14:paraId="14C24AB7" w14:textId="77777777" w:rsidR="004D3516" w:rsidRPr="004D3516" w:rsidRDefault="004D3516" w:rsidP="004D351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Week 24: Final efficacy assessment including lipid panel, PK sampling (subset of 50 patients), and final safety evaluations.</w:t>
      </w:r>
    </w:p>
    <w:p w14:paraId="7CB90998" w14:textId="77777777" w:rsidR="004D3516" w:rsidRPr="004D3516" w:rsidRDefault="004D3516" w:rsidP="004D35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End-of-Study Visit: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Conducted 4 weeks after the last dose to assess any lingering effects and collect final laboratory data.</w:t>
      </w:r>
    </w:p>
    <w:p w14:paraId="61B2187C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D74E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8622817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Statistical Considerations</w:t>
      </w:r>
    </w:p>
    <w:p w14:paraId="38A8A211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Size Calculation</w:t>
      </w:r>
    </w:p>
    <w:p w14:paraId="385E4A5B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Based on prior data, a sample size of 200 patients (100 per arm) will provide 80% power to detect a clinically significant difference of 15% reduction in LDL cholesterol (α = 0.05, two-sided test).</w:t>
      </w:r>
    </w:p>
    <w:p w14:paraId="14575948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Statistical Analysis Plan</w:t>
      </w:r>
    </w:p>
    <w:p w14:paraId="7608D8EC" w14:textId="77777777" w:rsidR="004D3516" w:rsidRPr="004D3516" w:rsidRDefault="004D3516" w:rsidP="004D3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Analysis: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The primary endpoint will be analyzed using an ANCOVA model adjusting for baseline LDL levels and stratification factors.</w:t>
      </w:r>
    </w:p>
    <w:p w14:paraId="4C76D7A9" w14:textId="77777777" w:rsidR="004D3516" w:rsidRPr="004D3516" w:rsidRDefault="004D3516" w:rsidP="004D3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Analyses: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Secondary endpoints will be evaluated using mixed-effects models and descriptive statistics. Safety data will be summarized by treatment group.</w:t>
      </w:r>
    </w:p>
    <w:p w14:paraId="063C46E4" w14:textId="77777777" w:rsidR="004D3516" w:rsidRPr="004D3516" w:rsidRDefault="004D3516" w:rsidP="004D3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Analysis: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An independent data monitoring committee (IDMC) will conduct an interim analysis at Week 12 to ensure safety and trial integrity without unblinding efficacy outcomes.</w:t>
      </w:r>
    </w:p>
    <w:p w14:paraId="517839CC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FA78F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4E1DF4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Safety and Efficacy Assessments</w:t>
      </w:r>
    </w:p>
    <w:p w14:paraId="2BDFE120" w14:textId="77777777" w:rsidR="004D3516" w:rsidRPr="004D3516" w:rsidRDefault="004D3516" w:rsidP="004D3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Efficacy Assessments: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Lipid profiles (LDL, HDL, total cholesterol, triglycerides) measured at scheduled visits.</w:t>
      </w:r>
    </w:p>
    <w:p w14:paraId="46CC470A" w14:textId="77777777" w:rsidR="004D3516" w:rsidRPr="004D3516" w:rsidRDefault="004D3516" w:rsidP="004D3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Assessments: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Monitoring of adverse events, vital signs, clinical laboratory tests (including liver function tests, creatine kinase), and ECG evaluations.</w:t>
      </w:r>
    </w:p>
    <w:p w14:paraId="25CE303D" w14:textId="77777777" w:rsidR="004D3516" w:rsidRPr="004D3516" w:rsidRDefault="004D3516" w:rsidP="004D3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PK Assessments: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a subset of patients, blood samples will be collected at specified time points to determine the pharmacokinetic profile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D5352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FE6F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1275B6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Ethical Considerations</w:t>
      </w:r>
    </w:p>
    <w:p w14:paraId="613AA9CC" w14:textId="77777777" w:rsidR="004D3516" w:rsidRPr="004D3516" w:rsidRDefault="004D3516" w:rsidP="004D3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The study will be conducted in accordance with the Declaration of Helsinki, Good Clinical Practice (GCP) guidelines, and local regulatory requirements.</w:t>
      </w:r>
    </w:p>
    <w:p w14:paraId="2290D96B" w14:textId="77777777" w:rsidR="004D3516" w:rsidRPr="004D3516" w:rsidRDefault="004D3516" w:rsidP="004D3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An independent Ethics Committee/Institutional Review Board (IRB) has approved the protocol.</w:t>
      </w:r>
    </w:p>
    <w:p w14:paraId="29F19D56" w14:textId="77777777" w:rsidR="004D3516" w:rsidRPr="004D3516" w:rsidRDefault="004D3516" w:rsidP="004D3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Informed consent will be obtained from all participants before any study-related procedures are performed.</w:t>
      </w:r>
    </w:p>
    <w:p w14:paraId="352DC050" w14:textId="77777777" w:rsidR="004D3516" w:rsidRPr="004D3516" w:rsidRDefault="004D3516" w:rsidP="004D35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>Patient confidentiality will be maintained throughout the study.</w:t>
      </w:r>
    </w:p>
    <w:p w14:paraId="37378F42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0CF7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7FBAC7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Study Organization and Responsibilities</w:t>
      </w:r>
    </w:p>
    <w:p w14:paraId="642D6265" w14:textId="77777777" w:rsidR="004D3516" w:rsidRPr="004D3516" w:rsidRDefault="004D3516" w:rsidP="004D3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 (</w:t>
      </w:r>
      <w:proofErr w:type="spellStart"/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Pharmaceuticals Inc.):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Overall study oversight, funding, and regulatory submissions.</w:t>
      </w:r>
    </w:p>
    <w:p w14:paraId="3C24B16E" w14:textId="77777777" w:rsidR="004D3516" w:rsidRPr="004D3516" w:rsidRDefault="004D3516" w:rsidP="004D3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Research Organization (CRO):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Management of day-to-day trial operations, site management, and data collection.</w:t>
      </w:r>
    </w:p>
    <w:p w14:paraId="66B7A2A6" w14:textId="77777777" w:rsidR="004D3516" w:rsidRPr="004D3516" w:rsidRDefault="004D3516" w:rsidP="004D3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 Investigators and Study Sites: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Responsible for patient recruitment, conduct of study procedures, and reporting of adverse events.</w:t>
      </w:r>
    </w:p>
    <w:p w14:paraId="2DE7A468" w14:textId="77777777" w:rsidR="004D3516" w:rsidRPr="004D3516" w:rsidRDefault="004D3516" w:rsidP="004D35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Monitoring Committee (DMC):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Oversight of safety data and interim analysis.</w:t>
      </w:r>
    </w:p>
    <w:p w14:paraId="2A9AE50D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8C94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51F134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Data Management and Quality Assurance</w:t>
      </w:r>
    </w:p>
    <w:p w14:paraId="499F0453" w14:textId="77777777" w:rsidR="004D3516" w:rsidRPr="004D3516" w:rsidRDefault="004D3516" w:rsidP="004D3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Data will be captured electronically using validated electronic Case Report Forms (eCRFs).</w:t>
      </w:r>
    </w:p>
    <w:p w14:paraId="7475B2F9" w14:textId="77777777" w:rsidR="004D3516" w:rsidRPr="004D3516" w:rsidRDefault="004D3516" w:rsidP="004D3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Control: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Regular monitoring visits and audits will be conducted to ensure protocol compliance and data accuracy.</w:t>
      </w:r>
    </w:p>
    <w:p w14:paraId="625FFDF4" w14:textId="77777777" w:rsidR="004D3516" w:rsidRPr="004D3516" w:rsidRDefault="004D3516" w:rsidP="004D3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Confidentiality: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br/>
        <w:t>All data will be de-identified and stored securely in compliance with data protection regulations.</w:t>
      </w:r>
    </w:p>
    <w:p w14:paraId="179E7174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3352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7333A0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Trial Timeline and Milestones</w:t>
      </w:r>
    </w:p>
    <w:p w14:paraId="42905BB7" w14:textId="217E8844" w:rsidR="004D3516" w:rsidRPr="004D3516" w:rsidRDefault="004D3516" w:rsidP="004D3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Start Date: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March 2, 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371B461C" w14:textId="091125F6" w:rsidR="004D3516" w:rsidRPr="004D3516" w:rsidRDefault="004D3516" w:rsidP="004D3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Patient Last Visit (LPLV):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22, </w:t>
      </w:r>
      <w:r w:rsidR="0073011D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2C5D76B7" w14:textId="77777777" w:rsidR="004D3516" w:rsidRPr="004D3516" w:rsidRDefault="004D3516" w:rsidP="004D3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Interim Analysis: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Planned at Week 12 (approximately mid-study)</w:t>
      </w:r>
    </w:p>
    <w:p w14:paraId="18A01C74" w14:textId="77777777" w:rsidR="004D3516" w:rsidRPr="004D3516" w:rsidRDefault="004D3516" w:rsidP="004D3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Lock and Final Analysis: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Within 4 weeks post-study completion</w:t>
      </w:r>
    </w:p>
    <w:p w14:paraId="51705D0A" w14:textId="77777777" w:rsidR="004D3516" w:rsidRPr="004D3516" w:rsidRDefault="004D3516" w:rsidP="004D35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Report Preparation:</w:t>
      </w: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Within 8 weeks after database lock</w:t>
      </w:r>
    </w:p>
    <w:p w14:paraId="5EAE2CBC" w14:textId="77777777" w:rsidR="004D3516" w:rsidRPr="004D3516" w:rsidRDefault="00591D2C" w:rsidP="004D35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F3E6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F71BE9" w14:textId="77777777" w:rsidR="004D3516" w:rsidRPr="004D3516" w:rsidRDefault="004D3516" w:rsidP="004D3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5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Conclusion and Next Steps</w:t>
      </w:r>
    </w:p>
    <w:p w14:paraId="54F69DE6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pre-specified primary and secondary endpoints, the Phase 2 study of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) is designed to rigorously assess both the efficacy and safety profile of the drug in lowering LDL cholesterol levels in hypercholesterolemic patients. Preliminary preclinical and early-phase data suggest that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can achieve significant lipid reductions at low dosages, thereby reducing the incidence of high-severity side effects commonly associated with traditional statin therapies.</w:t>
      </w:r>
    </w:p>
    <w:p w14:paraId="14145BBF" w14:textId="77777777" w:rsidR="004D3516" w:rsidRPr="004D3516" w:rsidRDefault="004D3516" w:rsidP="004D3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Given that the trial results are positive—demonstrating a statistically and clinically significant reduction in LDL cholesterol with an acceptable safety profile—the sponsor recommends advancing </w:t>
      </w:r>
      <w:proofErr w:type="spellStart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4D3516">
        <w:rPr>
          <w:rFonts w:ascii="Times New Roman" w:eastAsia="Times New Roman" w:hAnsi="Times New Roman" w:cs="Times New Roman"/>
          <w:kern w:val="0"/>
          <w14:ligatures w14:val="none"/>
        </w:rPr>
        <w:t xml:space="preserve"> into Phase 3 trials. Phase 3 studies will focus on confirming efficacy in a larger patient population, further exploring long-term safety, and assessing the drug’s impact on cardiovascular outcomes.</w:t>
      </w:r>
    </w:p>
    <w:p w14:paraId="0B42E53F" w14:textId="77777777" w:rsidR="004D3516" w:rsidRDefault="004D3516"/>
    <w:sectPr w:rsidR="004D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37A1"/>
    <w:multiLevelType w:val="multilevel"/>
    <w:tmpl w:val="BFC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D29"/>
    <w:multiLevelType w:val="multilevel"/>
    <w:tmpl w:val="852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4226"/>
    <w:multiLevelType w:val="multilevel"/>
    <w:tmpl w:val="D02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C71C7"/>
    <w:multiLevelType w:val="multilevel"/>
    <w:tmpl w:val="48A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7558"/>
    <w:multiLevelType w:val="multilevel"/>
    <w:tmpl w:val="1594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61169"/>
    <w:multiLevelType w:val="multilevel"/>
    <w:tmpl w:val="2E5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72D2E"/>
    <w:multiLevelType w:val="multilevel"/>
    <w:tmpl w:val="0BB8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36D5D"/>
    <w:multiLevelType w:val="multilevel"/>
    <w:tmpl w:val="D48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E47F1"/>
    <w:multiLevelType w:val="multilevel"/>
    <w:tmpl w:val="4A2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265BB"/>
    <w:multiLevelType w:val="multilevel"/>
    <w:tmpl w:val="FD2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F5EAC"/>
    <w:multiLevelType w:val="multilevel"/>
    <w:tmpl w:val="643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C42E4"/>
    <w:multiLevelType w:val="multilevel"/>
    <w:tmpl w:val="E5FA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9515E"/>
    <w:multiLevelType w:val="multilevel"/>
    <w:tmpl w:val="A58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47686"/>
    <w:multiLevelType w:val="multilevel"/>
    <w:tmpl w:val="71C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76CA3"/>
    <w:multiLevelType w:val="multilevel"/>
    <w:tmpl w:val="DF8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294433">
    <w:abstractNumId w:val="11"/>
  </w:num>
  <w:num w:numId="2" w16cid:durableId="1021932466">
    <w:abstractNumId w:val="4"/>
  </w:num>
  <w:num w:numId="3" w16cid:durableId="1111896283">
    <w:abstractNumId w:val="9"/>
  </w:num>
  <w:num w:numId="4" w16cid:durableId="195899020">
    <w:abstractNumId w:val="13"/>
  </w:num>
  <w:num w:numId="5" w16cid:durableId="1969238909">
    <w:abstractNumId w:val="14"/>
  </w:num>
  <w:num w:numId="6" w16cid:durableId="909390628">
    <w:abstractNumId w:val="0"/>
  </w:num>
  <w:num w:numId="7" w16cid:durableId="1129250895">
    <w:abstractNumId w:val="6"/>
  </w:num>
  <w:num w:numId="8" w16cid:durableId="729034640">
    <w:abstractNumId w:val="1"/>
  </w:num>
  <w:num w:numId="9" w16cid:durableId="887112061">
    <w:abstractNumId w:val="12"/>
  </w:num>
  <w:num w:numId="10" w16cid:durableId="1859661434">
    <w:abstractNumId w:val="2"/>
  </w:num>
  <w:num w:numId="11" w16cid:durableId="449400533">
    <w:abstractNumId w:val="7"/>
  </w:num>
  <w:num w:numId="12" w16cid:durableId="1583098790">
    <w:abstractNumId w:val="3"/>
  </w:num>
  <w:num w:numId="13" w16cid:durableId="1320033600">
    <w:abstractNumId w:val="5"/>
  </w:num>
  <w:num w:numId="14" w16cid:durableId="1434278312">
    <w:abstractNumId w:val="10"/>
  </w:num>
  <w:num w:numId="15" w16cid:durableId="1104231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6"/>
    <w:rsid w:val="003C432A"/>
    <w:rsid w:val="004D3516"/>
    <w:rsid w:val="00591D2C"/>
    <w:rsid w:val="006C17D1"/>
    <w:rsid w:val="0073011D"/>
    <w:rsid w:val="00B0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9DA5"/>
  <w15:chartTrackingRefBased/>
  <w15:docId w15:val="{E24A8019-121A-9C43-A11D-56CEAB76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3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3</cp:revision>
  <dcterms:created xsi:type="dcterms:W3CDTF">2025-02-27T15:29:00Z</dcterms:created>
  <dcterms:modified xsi:type="dcterms:W3CDTF">2025-02-27T15:30:00Z</dcterms:modified>
</cp:coreProperties>
</file>