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2"/>
      </w:pPr>
      <w:r>
        <w:t xml:space="preserve">브루소의 교수학적 상황론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브루소의 교수학적 상황론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교수학적 상황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하나 이상의 문제-상황과 교사의 교수학적 의도가 담긴 상황(수업)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비교수학적 상황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학생이 스스로 탐구할 수 있도록 교수학적 의도가 감추어진 상황(스스로 공부)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교수학적 상황 -&gt; 비교수학적 학습</w:t>
      </w:r>
    </w:p>
    <w:p>
      <w:pPr/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필요조건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책임의 양도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학습 책임 교사에서 학생으로 이동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학생에게 탐구, 발견 주도권 이양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폴리아, 스켐프가 강조한 독립 학습 핵심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교수학적 계약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교사, 학생의 수업 행동에 대한 상호 이해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각자의 역할, 책임 인식, 이행의 보완적 관계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계약 불이행시 딘즈 효과 발생? 이게 머야</w:t>
      </w:r>
    </w:p>
    <w:p>
      <w:pPr/>
      <w:r>
        <w:t xml:space="preserve">		-&gt; 딘즈 효과 딘즈 참고하기</w:t>
      </w:r>
    </w:p>
    <w:p>
      <w:pPr/>
      <w:r>
        <w:t xml:space="preserve">		딘즈 효과 : 애들이 게임이나 놀이를 하기는 하는데, 거기에 수학은 없는 경우 -&gt; 메타인지-이동과 밀접한 연관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발전과정 - 수학적 개념의 발생단계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원형 수학적 개념 단계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불완전하지만 일관된 관념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무의식적, 암묵적 사용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의식되지 않는 단계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의사 수학적 개념 단계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개념 연구 중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조직화 , 이론화 X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의미론적으로 조종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도구로 인식하는 단계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수학적 개념 단계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수학적 이론의 통제 하에 놓임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하나의 완전한 구조를 가지는 개념상태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이론적 수학 개념 정립 단계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교수 상황 단계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행동 상황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원형 수학적 개념 형성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형식화 상황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타당화 상황</w:t>
      </w:r>
    </w:p>
    <w:p>
      <w:pPr>
        <w:ind w:left="720" w:hanging="360"/>
        <w:numPr>
          <w:ilvl w:val="0"/>
          <w:numId w:val="2"/>
        </w:numPr>
        <w:spacing w:before="60" w:after="60"/>
      </w:pPr>
      <w:r>
        <w:t xml:space="preserve">제도화 상황</w:t>
      </w:r>
    </w:p>
    <w:p>
      <w:pPr/>
    </w:p>
    <w:p>
      <w:pPr/>
    </w:p>
    <w:p>
      <w:pPr>
        <w:pStyle w:val="Heading2"/>
      </w:pPr>
      <w:r>
        <w:t xml:space="preserve">쉐발라드의 교수학적 변환론</w:t>
      </w:r>
    </w:p>
    <w:p>
      <w:pPr>
        <w:pStyle w:val="Heading4"/>
      </w:pPr>
      <w:r>
        <w:t xml:space="preserve">지식의 정의</w:t>
      </w:r>
    </w:p>
    <w:p>
      <w:pPr/>
      <w:r>
        <w:t xml:space="preserve">지식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학문적 지식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&lt;font color="#c00000"&gt;교수학적 지식&lt;/font&gt;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가르칠 지식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가르쳐질 지식, 학습될 지식</w:t>
      </w:r>
    </w:p>
    <w:p>
      <w:pPr/>
    </w:p>
    <w:p>
      <w:pPr>
        <w:pStyle w:val="Heading4"/>
      </w:pPr>
      <w:r>
        <w:t xml:space="preserve">문제 의식</w:t>
      </w:r>
    </w:p>
    <w:p>
      <w:pPr/>
      <w:r>
        <w:t xml:space="preserve">지식의 전달 : 원래 학문 -&gt; 가르칠 지식 -&gt; 가르쳐질 지식 으로 변환이 된다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&lt;font color="#c00000"&gt;교수 체계는 삼원적 관계&lt;/font&gt;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교사, 학생의 이원 관계만으론 설명 불충분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지식을 포함한 삼원적 관계로 이해해야 함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지식은 교사와 학생 사이에서 변형, 전달됨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&lt;font color="#c00000"&gt;지식의 파손성&lt;/font&gt;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가르치기 쉽게 하기 위해 원 의미가 훼손될 수 있음</w:t>
      </w:r>
    </w:p>
    <w:p>
      <w:pPr/>
    </w:p>
    <w:p>
      <w:pPr/>
    </w:p>
    <w:p>
      <w:pPr>
        <w:pStyle w:val="Heading4"/>
      </w:pPr>
      <w:r>
        <w:t xml:space="preserve">&lt;font color="#c00000"&gt;교수학적 변환론&lt;/font&gt;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개인화/배경화(문맥화)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자신만의 방식으로 지식 이해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경험과 맥락을 활용해 지식 구성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탈개인화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개인적 지식을 보편화 시키는 과정</w:t>
      </w:r>
    </w:p>
    <w:p>
      <w:pPr/>
    </w:p>
    <w:p>
      <w:pPr/>
      <w:r>
        <w:t xml:space="preserve">일상적 지식 -&gt; 학문적 지식 -&gt; 가르칠 지식 -&gt; 학습된 지식 -&gt; 사용할 지식 -&gt; 일상적 지식</w:t>
      </w:r>
    </w:p>
    <w:p>
      <w:pPr/>
    </w:p>
    <w:p>
      <w:pPr/>
      <w:r>
        <w:t xml:space="preserve">우리가 배운 언어로 학생들에게 가르치는 게 도움이 된다. 대학 수학의 반대 과정으로 가르치는 게 도움이 된다.</w:t>
      </w:r>
    </w:p>
    <w:p>
      <w:pPr/>
    </w:p>
    <w:p>
      <w:pPr>
        <w:pStyle w:val="Heading4"/>
      </w:pPr>
      <w:r>
        <w:t xml:space="preserve">극단적 교수현상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메타인지-이동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개인화 강조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학생이 본질적 학습 내용에서 벗어남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도구나 활동 자체에만 집중하는 현상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형식적 고착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개인화 간과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공식을 외우라고 강요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형식적 지식만 강요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&lt;font color="#c00000"&gt;토파즈식 외면치레&lt;/font&gt;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탈개인화 강조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발문처럼 보이지만 사실상 정답 유도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교사가 답을 유도하며 학생은 수동적 반응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형식적 이해만 있는 것처럼 보이는 현상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학생은 근의 공식을 이해하지 못함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&lt;font color="#c00000"&gt;조르단식 외면치레&lt;/font&gt;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탈개인화 간과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학생의 피상적 반응을 과대해석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실제 이해 없이 성취로 착각하는 현상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학생은 대입만 했을 뿐 이해 못함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교사가 과도하게 해석하며 의미 부여</w:t>
      </w:r>
    </w:p>
    <w:p>
      <w:pPr/>
    </w:p>
    <w:p>
      <w:pPr>
        <w:pStyle w:val="Heading4"/>
      </w:pPr>
      <w:r>
        <w:t xml:space="preserve">인지적 장애의 종류</w:t>
      </w:r>
    </w:p>
    <w:p>
      <w:pPr>
        <w:pStyle w:val="Heading5"/>
      </w:pPr>
      <w:r>
        <w:t xml:space="preserve">인식론적 장애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일상어의 영향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수학 용어와 일상어의 의미 차이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직관의 영향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직관적 판단과 수학적 사실의 불일치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감각적 경험이 논리적 이해 방해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과도한 일반화의 영향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제한된 경험을 일반화하는 오류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은유의 영향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수학 개념을 설명하는 은유적 표현</w:t>
      </w:r>
    </w:p>
    <w:p>
      <w:pPr>
        <w:ind w:left="720" w:hanging="360"/>
        <w:numPr>
          <w:ilvl w:val="0"/>
          <w:numId w:val="1"/>
        </w:numPr>
        <w:spacing w:before="60" w:after="60"/>
      </w:pPr>
      <w:r>
        <w:t xml:space="preserve">형식적 정의로의 전환 중요</w:t>
      </w:r>
    </w:p>
    <w:p>
      <w:pPr/>
    </w:p>
    <w:p>
      <w:pPr/>
      <w:r>
        <w:t xml:space="preserve">-&gt; 반드시 극복해야 하는 불가피한 장애</w:t>
      </w:r>
    </w:p>
    <w:p>
      <w:pPr/>
    </w:p>
    <w:p>
      <w:pPr/>
    </w:p>
    <w:p>
      <w:pPr/>
      <w:r>
        <w:t xml:space="preserve">다음 주에는 수업이 없음. 비디오 보면서 자습. 임웅 교수님이 2학기부터 안식년. 졸연보 같은 경우에 수학 내용가지고 졸연보 써도 된다.</w:t>
      </w:r>
    </w:p>
    <w:p>
      <w:pPr/>
    </w:p>
    <w:p>
      <w:pPr/>
    </w:p>
    <w:p>
      <w:pPr/>
    </w:p>
    <w:p>
      <w:pPr/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nsid w:val="0001"/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0002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outlineLvl w:val="0"/>
    </w:pPr>
    <w:rPr>
      <w:rFonts w:ascii="Calibri" w:hAnsi="Calibri" w:cs="Calibr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120"/>
      <w:outlineLvl w:val="1"/>
    </w:pPr>
    <w:rPr>
      <w:rFonts w:ascii="Calibri" w:hAnsi="Calibri" w:cs="Calib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120"/>
      <w:outlineLvl w:val="2"/>
    </w:pPr>
    <w:rPr>
      <w:rFonts w:ascii="Calibri" w:hAnsi="Calibri" w:cs="Calibri"/>
      <w:b/>
      <w:bCs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 w:after="120"/>
      <w:outlineLvl w:val="3"/>
    </w:pPr>
    <w:rPr>
      <w:rFonts w:ascii="Calibri" w:hAnsi="Calibri" w:cs="Calibr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40" w:after="120"/>
      <w:outlineLvl w:val="4"/>
    </w:pPr>
    <w:rPr>
      <w:rFonts w:ascii="Calibri" w:hAnsi="Calibri" w:cs="Calibri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40" w:after="120"/>
      <w:outlineLvl w:val="5"/>
    </w:pPr>
    <w:rPr>
      <w:rFonts w:ascii="Calibri" w:hAnsi="Calibri" w:cs="Calibri"/>
      <w:b/>
      <w:bCs/>
      <w:sz w:val="22"/>
      <w:szCs w:val="22"/>
    </w:rPr>
  </w:style>
  <w:style w:type="character" w:styleId="CodeChar">
    <w:name w:val="Code"/>
    <w:rPr>
      <w:rFonts w:ascii="Courier New" w:hAnsi="Courier New" w:cs="Courier New"/>
      <w:b/>
      <w:sz w:val="22"/>
      <w:szCs w:val="22"/>
      <w:shd w:val="clear" w:color="auto" w:fill="F5F5F5"/>
    </w:rPr>
  </w:style>
  <w:style w:type="paragraph" w:styleId="CodeBlock">
    <w:name w:val="Code Block"/>
    <w:basedOn w:val="Normal"/>
    <w:rPr>
      <w:rFonts w:ascii="Courier New" w:hAnsi="Courier New" w:cs="Courier New"/>
      <w:sz w:val="20"/>
      <w:szCs w:val="20"/>
      <w:color w:val="2F3337"/>
    </w:rPr>
    <w:pPr>
      <w:shd w:val="clear" w:color="auto" w:fill="F8F8F8"/>
      <w:spacing w:before="120" w:after="120" w:line="276" w:lineRule="auto"/>
      <w:ind w:left="240" w:right="240"/>
      <w:contextualSpacing/>
      <w:bdr>
        <w:top w:val="single" w:sz="4" w:space="1" w:color="E1E4E8"/>
        <w:left w:val="single" w:sz="4" w:space="1" w:color="E1E4E8"/>
        <w:bottom w:val="single" w:sz="4" w:space="1" w:color="E1E4E8"/>
        <w:right w:val="single" w:sz="4" w:space="1" w:color="E1E4E8"/>
      </w:bd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