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5F7EA" w14:textId="6854B611" w:rsidR="008A4CEF" w:rsidRPr="0089670C" w:rsidRDefault="008A4CEF" w:rsidP="008A4CEF">
      <w:pPr>
        <w:pStyle w:val="BodyText"/>
        <w:rPr>
          <w:sz w:val="28"/>
          <w:lang w:val="en-US"/>
        </w:rPr>
      </w:pPr>
    </w:p>
    <w:tbl>
      <w:tblPr>
        <w:tblStyle w:val="TableGrid"/>
        <w:tblW w:w="0" w:type="auto"/>
        <w:tblBorders>
          <w:top w:val="single" w:sz="24" w:space="0" w:color="0A1450"/>
          <w:left w:val="none" w:sz="0" w:space="0" w:color="auto"/>
          <w:bottom w:val="single" w:sz="18" w:space="0" w:color="00AFE6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3"/>
        <w:gridCol w:w="5245"/>
      </w:tblGrid>
      <w:tr w:rsidR="008A4CEF" w14:paraId="07604E5C" w14:textId="77777777" w:rsidTr="00F6608B">
        <w:tc>
          <w:tcPr>
            <w:tcW w:w="5352" w:type="dxa"/>
          </w:tcPr>
          <w:p w14:paraId="4C04A10D" w14:textId="77777777" w:rsidR="008A4CEF" w:rsidRPr="00893A25" w:rsidRDefault="008A4CEF" w:rsidP="008736FF">
            <w:pPr>
              <w:pStyle w:val="BodyText"/>
              <w:spacing w:line="240" w:lineRule="auto"/>
            </w:pPr>
          </w:p>
          <w:p w14:paraId="68A34FC7" w14:textId="49BF1DAD" w:rsidR="008A4CEF" w:rsidRDefault="00B15FBF" w:rsidP="008736FF">
            <w:pPr>
              <w:pStyle w:val="BodyText"/>
              <w:spacing w:line="240" w:lineRule="auto"/>
            </w:pPr>
            <w:r>
              <w:t>FINAL ACTION POINTS</w:t>
            </w:r>
          </w:p>
          <w:p w14:paraId="5C388040" w14:textId="77777777" w:rsidR="008736FF" w:rsidRPr="00893A25" w:rsidRDefault="008736FF" w:rsidP="008736FF">
            <w:pPr>
              <w:pStyle w:val="BodyText"/>
              <w:spacing w:line="240" w:lineRule="auto"/>
            </w:pPr>
          </w:p>
          <w:p w14:paraId="1EA5785C" w14:textId="77777777" w:rsidR="00B63209" w:rsidRDefault="004622B0" w:rsidP="004622B0">
            <w:pPr>
              <w:pStyle w:val="NameofFund"/>
              <w:spacing w:before="0" w:after="0" w:line="240" w:lineRule="auto"/>
              <w:rPr>
                <w:color w:val="021D49"/>
              </w:rPr>
            </w:pPr>
            <w:r w:rsidRPr="4B311C05">
              <w:rPr>
                <w:color w:val="021D49"/>
              </w:rPr>
              <w:t xml:space="preserve">Purchase of </w:t>
            </w:r>
            <w:r>
              <w:rPr>
                <w:color w:val="021D49"/>
              </w:rPr>
              <w:t>Project Saint</w:t>
            </w:r>
          </w:p>
          <w:p w14:paraId="3FAE2A09" w14:textId="392369FA" w:rsidR="004622B0" w:rsidRPr="009B4996" w:rsidRDefault="004622B0" w:rsidP="004622B0">
            <w:pPr>
              <w:pStyle w:val="NameofFund"/>
              <w:spacing w:before="0" w:after="0" w:line="240" w:lineRule="auto"/>
              <w:rPr>
                <w:color w:val="021D49"/>
              </w:rPr>
            </w:pPr>
            <w:r>
              <w:rPr>
                <w:color w:val="021D49"/>
              </w:rPr>
              <w:t>Healthcare Facility in Tokyo, Japan</w:t>
            </w:r>
          </w:p>
          <w:p w14:paraId="66442C3E" w14:textId="2C61A4F8" w:rsidR="00A22F81" w:rsidRPr="00893A25" w:rsidRDefault="00A22F81" w:rsidP="008736FF">
            <w:pPr>
              <w:pStyle w:val="BodyText"/>
              <w:spacing w:line="240" w:lineRule="auto"/>
            </w:pPr>
          </w:p>
        </w:tc>
        <w:tc>
          <w:tcPr>
            <w:tcW w:w="5352" w:type="dxa"/>
          </w:tcPr>
          <w:p w14:paraId="606220F6" w14:textId="77777777" w:rsidR="008A4CEF" w:rsidRPr="00893A25" w:rsidRDefault="008A4CEF" w:rsidP="008736FF">
            <w:pPr>
              <w:pStyle w:val="BodyText"/>
              <w:spacing w:line="240" w:lineRule="auto"/>
            </w:pPr>
          </w:p>
          <w:p w14:paraId="2F97606C" w14:textId="77777777" w:rsidR="008A4CEF" w:rsidRDefault="008736FF" w:rsidP="008736FF">
            <w:pPr>
              <w:pStyle w:val="BodyText"/>
              <w:spacing w:line="240" w:lineRule="auto"/>
            </w:pPr>
            <w:r w:rsidRPr="00893A25">
              <w:t>ON BEHALF OF</w:t>
            </w:r>
            <w:r w:rsidR="00192735">
              <w:t xml:space="preserve"> CLIENT</w:t>
            </w:r>
            <w:r w:rsidRPr="00893A25">
              <w:t>:</w:t>
            </w:r>
          </w:p>
          <w:p w14:paraId="5D5AEE04" w14:textId="77777777" w:rsidR="008736FF" w:rsidRPr="00893A25" w:rsidRDefault="008736FF" w:rsidP="008736FF">
            <w:pPr>
              <w:pStyle w:val="BodyText"/>
              <w:spacing w:line="240" w:lineRule="auto"/>
            </w:pPr>
          </w:p>
          <w:p w14:paraId="729CE093" w14:textId="35920174" w:rsidR="008A4CEF" w:rsidRPr="00893A25" w:rsidRDefault="00A22F81" w:rsidP="008736FF">
            <w:pPr>
              <w:pStyle w:val="BodyText"/>
              <w:spacing w:line="240" w:lineRule="auto"/>
            </w:pPr>
            <w:r w:rsidRPr="00A22F81">
              <w:rPr>
                <w:color w:val="1A206D"/>
              </w:rPr>
              <w:t>Savills IM Asia Pacific Income &amp; Growth Fund (“APACIG”)</w:t>
            </w:r>
          </w:p>
        </w:tc>
      </w:tr>
    </w:tbl>
    <w:p w14:paraId="14AAC2B7" w14:textId="77777777" w:rsidR="008A4CEF" w:rsidRDefault="008A4CEF" w:rsidP="008A4CEF">
      <w:pPr>
        <w:pStyle w:val="BodyText"/>
        <w:rPr>
          <w:sz w:val="28"/>
        </w:rPr>
      </w:pPr>
    </w:p>
    <w:p w14:paraId="708D60E1" w14:textId="77777777" w:rsidR="004622B0" w:rsidRPr="00CD3875" w:rsidRDefault="004622B0" w:rsidP="004622B0">
      <w:pPr>
        <w:pStyle w:val="BodyText"/>
        <w:jc w:val="center"/>
        <w:rPr>
          <w:b/>
          <w:bCs/>
          <w:color w:val="auto"/>
          <w:u w:val="single"/>
          <w:lang w:eastAsia="ja-JP"/>
        </w:rPr>
      </w:pPr>
      <w:r w:rsidRPr="00CD3875">
        <w:rPr>
          <w:b/>
          <w:bCs/>
          <w:color w:val="auto"/>
          <w:u w:val="single"/>
          <w:lang w:eastAsia="ja-JP"/>
        </w:rPr>
        <w:t xml:space="preserve">“Project </w:t>
      </w:r>
      <w:r>
        <w:rPr>
          <w:b/>
          <w:bCs/>
          <w:color w:val="auto"/>
          <w:u w:val="single"/>
          <w:lang w:eastAsia="ja-JP"/>
        </w:rPr>
        <w:t>Saint</w:t>
      </w:r>
      <w:r w:rsidRPr="00CD3875">
        <w:rPr>
          <w:b/>
          <w:bCs/>
          <w:color w:val="auto"/>
          <w:u w:val="single"/>
          <w:lang w:eastAsia="ja-JP"/>
        </w:rPr>
        <w:t>”</w:t>
      </w:r>
      <w:r>
        <w:rPr>
          <w:b/>
          <w:bCs/>
          <w:color w:val="auto"/>
          <w:u w:val="single"/>
          <w:lang w:eastAsia="ja-JP"/>
        </w:rPr>
        <w:t xml:space="preserve"> – St Catherine’s Hospital, Tokyo</w:t>
      </w:r>
    </w:p>
    <w:p w14:paraId="7ACA8D4D" w14:textId="77777777" w:rsidR="004622B0" w:rsidRDefault="004622B0" w:rsidP="004622B0">
      <w:pPr>
        <w:pStyle w:val="BodyText"/>
        <w:jc w:val="center"/>
        <w:rPr>
          <w:i/>
          <w:iCs/>
          <w:noProof/>
          <w:color w:val="auto"/>
        </w:rPr>
      </w:pPr>
    </w:p>
    <w:p w14:paraId="479BB397" w14:textId="77777777" w:rsidR="004622B0" w:rsidRDefault="004622B0" w:rsidP="004622B0">
      <w:pPr>
        <w:pStyle w:val="BodyText"/>
        <w:jc w:val="center"/>
        <w:rPr>
          <w:i/>
          <w:iCs/>
          <w:noProof/>
          <w:color w:val="aut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CA0BEAA" wp14:editId="7DBF65BB">
            <wp:simplePos x="0" y="0"/>
            <wp:positionH relativeFrom="margin">
              <wp:align>center</wp:align>
            </wp:positionH>
            <wp:positionV relativeFrom="paragraph">
              <wp:posOffset>40005</wp:posOffset>
            </wp:positionV>
            <wp:extent cx="4091305" cy="4667415"/>
            <wp:effectExtent l="0" t="0" r="444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09" b="9631"/>
                    <a:stretch/>
                  </pic:blipFill>
                  <pic:spPr bwMode="auto">
                    <a:xfrm>
                      <a:off x="0" y="0"/>
                      <a:ext cx="4091305" cy="466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4581FF" w14:textId="77777777" w:rsidR="004622B0" w:rsidRDefault="004622B0" w:rsidP="004622B0">
      <w:pPr>
        <w:pStyle w:val="BodyText"/>
        <w:jc w:val="center"/>
        <w:rPr>
          <w:i/>
          <w:iCs/>
          <w:noProof/>
          <w:color w:val="auto"/>
        </w:rPr>
      </w:pPr>
    </w:p>
    <w:p w14:paraId="7498DAD1" w14:textId="77777777" w:rsidR="004622B0" w:rsidRDefault="004622B0" w:rsidP="004622B0">
      <w:pPr>
        <w:pStyle w:val="BodyText"/>
        <w:jc w:val="center"/>
        <w:rPr>
          <w:i/>
          <w:iCs/>
          <w:noProof/>
          <w:color w:val="auto"/>
        </w:rPr>
      </w:pPr>
    </w:p>
    <w:p w14:paraId="270F7332" w14:textId="77777777" w:rsidR="004622B0" w:rsidRDefault="004622B0" w:rsidP="004622B0">
      <w:pPr>
        <w:pStyle w:val="BodyText"/>
        <w:jc w:val="center"/>
        <w:rPr>
          <w:i/>
          <w:iCs/>
          <w:noProof/>
          <w:color w:val="auto"/>
        </w:rPr>
      </w:pPr>
    </w:p>
    <w:p w14:paraId="16C314F7" w14:textId="77777777" w:rsidR="004622B0" w:rsidRDefault="004622B0" w:rsidP="004622B0">
      <w:pPr>
        <w:pStyle w:val="BodyText"/>
        <w:rPr>
          <w:sz w:val="28"/>
        </w:rPr>
      </w:pPr>
    </w:p>
    <w:p w14:paraId="55080C5D" w14:textId="77777777" w:rsidR="004622B0" w:rsidRDefault="004622B0" w:rsidP="004622B0">
      <w:pPr>
        <w:pStyle w:val="BodyText"/>
        <w:rPr>
          <w:sz w:val="28"/>
        </w:rPr>
      </w:pPr>
    </w:p>
    <w:p w14:paraId="30CF3450" w14:textId="77777777" w:rsidR="004622B0" w:rsidRDefault="004622B0" w:rsidP="004622B0">
      <w:pPr>
        <w:pStyle w:val="BodyText"/>
        <w:rPr>
          <w:sz w:val="28"/>
        </w:rPr>
      </w:pPr>
    </w:p>
    <w:p w14:paraId="1816A374" w14:textId="77777777" w:rsidR="004622B0" w:rsidRDefault="004622B0" w:rsidP="004622B0">
      <w:pPr>
        <w:pStyle w:val="BodyText"/>
        <w:rPr>
          <w:sz w:val="28"/>
        </w:rPr>
      </w:pPr>
    </w:p>
    <w:p w14:paraId="37894A12" w14:textId="77777777" w:rsidR="004622B0" w:rsidRDefault="004622B0" w:rsidP="004622B0">
      <w:pPr>
        <w:pStyle w:val="BodyText"/>
        <w:rPr>
          <w:sz w:val="28"/>
        </w:rPr>
      </w:pPr>
    </w:p>
    <w:p w14:paraId="28EB5F78" w14:textId="77777777" w:rsidR="004622B0" w:rsidRPr="00C647B3" w:rsidRDefault="004622B0" w:rsidP="004622B0">
      <w:pPr>
        <w:pStyle w:val="BodyText"/>
        <w:rPr>
          <w:sz w:val="28"/>
        </w:rPr>
      </w:pPr>
    </w:p>
    <w:p w14:paraId="68BA4AA5" w14:textId="77777777" w:rsidR="004622B0" w:rsidRDefault="004622B0" w:rsidP="004622B0">
      <w:pPr>
        <w:spacing w:after="540"/>
        <w:ind w:left="1701"/>
      </w:pPr>
    </w:p>
    <w:p w14:paraId="4DCE83CB" w14:textId="77777777" w:rsidR="004622B0" w:rsidRDefault="004622B0" w:rsidP="004622B0">
      <w:pPr>
        <w:spacing w:after="540"/>
        <w:ind w:left="1701"/>
      </w:pPr>
    </w:p>
    <w:p w14:paraId="06A2D326" w14:textId="77777777" w:rsidR="004622B0" w:rsidRDefault="004622B0" w:rsidP="004622B0">
      <w:pPr>
        <w:spacing w:after="540"/>
        <w:ind w:left="1701"/>
      </w:pPr>
    </w:p>
    <w:p w14:paraId="2F8B0876" w14:textId="77777777" w:rsidR="004622B0" w:rsidRDefault="004622B0" w:rsidP="004622B0">
      <w:pPr>
        <w:spacing w:after="540"/>
        <w:ind w:left="1701"/>
      </w:pPr>
    </w:p>
    <w:p w14:paraId="03D05E6D" w14:textId="77777777" w:rsidR="004622B0" w:rsidRDefault="004622B0" w:rsidP="004622B0">
      <w:pPr>
        <w:spacing w:after="540"/>
        <w:ind w:left="1701"/>
      </w:pPr>
    </w:p>
    <w:p w14:paraId="6BC340FB" w14:textId="77777777" w:rsidR="004622B0" w:rsidRDefault="004622B0" w:rsidP="004622B0">
      <w:pPr>
        <w:spacing w:after="540"/>
        <w:ind w:left="1701"/>
      </w:pPr>
    </w:p>
    <w:p w14:paraId="53347CB6" w14:textId="77777777" w:rsidR="00C37722" w:rsidRDefault="00C37722" w:rsidP="008A4CEF">
      <w:pPr>
        <w:spacing w:after="200" w:line="276" w:lineRule="auto"/>
        <w:rPr>
          <w:color w:val="141414" w:themeColor="text1"/>
          <w:sz w:val="24"/>
        </w:rPr>
      </w:pPr>
    </w:p>
    <w:p w14:paraId="4C47D963" w14:textId="77777777" w:rsidR="004622B0" w:rsidRDefault="004622B0" w:rsidP="008A4CEF">
      <w:pPr>
        <w:spacing w:after="200" w:line="276" w:lineRule="auto"/>
        <w:rPr>
          <w:color w:val="141414" w:themeColor="text1"/>
          <w:sz w:val="24"/>
        </w:rPr>
      </w:pPr>
    </w:p>
    <w:p w14:paraId="0009F1F4" w14:textId="1AFB73F0" w:rsidR="00A3775D" w:rsidRPr="00C905EC" w:rsidRDefault="00A3775D" w:rsidP="00A3775D">
      <w:pPr>
        <w:spacing w:after="200" w:line="276" w:lineRule="auto"/>
        <w:rPr>
          <w:b/>
          <w:bCs/>
          <w:color w:val="141414" w:themeColor="text1"/>
          <w:sz w:val="24"/>
        </w:rPr>
      </w:pPr>
      <w:r w:rsidRPr="00C905EC">
        <w:rPr>
          <w:b/>
          <w:bCs/>
          <w:color w:val="141414" w:themeColor="text1"/>
          <w:sz w:val="24"/>
        </w:rPr>
        <w:t xml:space="preserve">Stage </w:t>
      </w:r>
      <w:r>
        <w:rPr>
          <w:b/>
          <w:bCs/>
          <w:color w:val="141414" w:themeColor="text1"/>
          <w:sz w:val="24"/>
        </w:rPr>
        <w:t>3</w:t>
      </w:r>
      <w:r w:rsidR="00927483">
        <w:rPr>
          <w:b/>
          <w:bCs/>
          <w:color w:val="141414" w:themeColor="text1"/>
          <w:sz w:val="24"/>
        </w:rPr>
        <w:t xml:space="preserve"> Update</w:t>
      </w:r>
    </w:p>
    <w:p w14:paraId="40BBCB73" w14:textId="606A5E27" w:rsidR="008A4CEF" w:rsidRDefault="008A4CEF" w:rsidP="008A4CEF">
      <w:pPr>
        <w:spacing w:after="200" w:line="276" w:lineRule="auto"/>
      </w:pPr>
      <w:r w:rsidRPr="00711F3A">
        <w:rPr>
          <w:color w:val="141414" w:themeColor="text1"/>
          <w:sz w:val="24"/>
        </w:rPr>
        <w:t xml:space="preserve">Date of Issue: </w:t>
      </w:r>
      <w:r w:rsidR="004622B0">
        <w:rPr>
          <w:color w:val="141414" w:themeColor="text1"/>
          <w:sz w:val="24"/>
        </w:rPr>
        <w:t>27</w:t>
      </w:r>
      <w:r w:rsidR="00EC2A74" w:rsidRPr="00634EA8">
        <w:rPr>
          <w:color w:val="141414" w:themeColor="text1"/>
          <w:sz w:val="24"/>
        </w:rPr>
        <w:t>/</w:t>
      </w:r>
      <w:r w:rsidR="004622B0">
        <w:rPr>
          <w:color w:val="141414" w:themeColor="text1"/>
          <w:sz w:val="24"/>
        </w:rPr>
        <w:t>3</w:t>
      </w:r>
      <w:r w:rsidR="00EC2A74" w:rsidRPr="00634EA8">
        <w:rPr>
          <w:color w:val="141414" w:themeColor="text1"/>
          <w:sz w:val="24"/>
        </w:rPr>
        <w:t>/</w:t>
      </w:r>
      <w:r w:rsidR="00927483" w:rsidRPr="00634EA8">
        <w:rPr>
          <w:color w:val="141414" w:themeColor="text1"/>
          <w:sz w:val="24"/>
        </w:rPr>
        <w:t>202</w:t>
      </w:r>
      <w:r w:rsidR="004622B0">
        <w:rPr>
          <w:color w:val="141414" w:themeColor="text1"/>
          <w:sz w:val="24"/>
        </w:rPr>
        <w:t>4</w:t>
      </w:r>
      <w:r w:rsidR="008736FF" w:rsidRPr="00711F3A">
        <w:rPr>
          <w:color w:val="141414" w:themeColor="text1"/>
          <w:sz w:val="24"/>
        </w:rPr>
        <w:t xml:space="preserve">, Version No. </w:t>
      </w:r>
      <w:r w:rsidR="00EC2A74" w:rsidRPr="00711F3A">
        <w:rPr>
          <w:color w:val="141414" w:themeColor="text1"/>
          <w:sz w:val="24"/>
        </w:rPr>
        <w:t>1</w:t>
      </w:r>
    </w:p>
    <w:p w14:paraId="7F78C960" w14:textId="77777777" w:rsidR="004A3BF7" w:rsidRDefault="004A3BF7" w:rsidP="00B44531">
      <w:pPr>
        <w:pStyle w:val="NameofFund"/>
        <w:sectPr w:rsidR="004A3BF7" w:rsidSect="004A3BF7">
          <w:headerReference w:type="default" r:id="rId12"/>
          <w:footerReference w:type="default" r:id="rId13"/>
          <w:pgSz w:w="11906" w:h="16838" w:code="9"/>
          <w:pgMar w:top="1135" w:right="709" w:bottom="851" w:left="709" w:header="709" w:footer="624" w:gutter="0"/>
          <w:cols w:space="708"/>
          <w:docGrid w:linePitch="360"/>
        </w:sectPr>
      </w:pPr>
    </w:p>
    <w:p w14:paraId="0D203B96" w14:textId="3D557353" w:rsidR="00D56527" w:rsidRDefault="00B15FBF" w:rsidP="0066693B">
      <w:pPr>
        <w:pStyle w:val="Heading1"/>
      </w:pPr>
      <w:r>
        <w:t>Final actions</w:t>
      </w:r>
    </w:p>
    <w:p w14:paraId="51DAB0D9" w14:textId="77777777" w:rsidR="004622B0" w:rsidRDefault="004622B0" w:rsidP="004622B0">
      <w:pPr>
        <w:rPr>
          <w:rFonts w:cs="Arial"/>
          <w:bCs/>
        </w:rPr>
      </w:pPr>
    </w:p>
    <w:p w14:paraId="4D7EA1DF" w14:textId="1D79E0D9" w:rsidR="004622B0" w:rsidRPr="004622B0" w:rsidRDefault="004622B0" w:rsidP="004622B0">
      <w:pPr>
        <w:rPr>
          <w:rFonts w:cs="Arial"/>
          <w:bCs/>
          <w:sz w:val="20"/>
          <w:szCs w:val="20"/>
        </w:rPr>
      </w:pPr>
      <w:r w:rsidRPr="004622B0">
        <w:rPr>
          <w:rFonts w:cs="Arial"/>
          <w:bCs/>
          <w:sz w:val="20"/>
          <w:szCs w:val="20"/>
        </w:rPr>
        <w:t>No deal specific action items were identified during the Stage 2 meeting.</w:t>
      </w:r>
    </w:p>
    <w:p w14:paraId="36DD03A9" w14:textId="68694B78" w:rsidR="00B15FBF" w:rsidRDefault="00B15FBF" w:rsidP="00B15FBF">
      <w:pPr>
        <w:pStyle w:val="Heading2"/>
        <w:numPr>
          <w:ilvl w:val="0"/>
          <w:numId w:val="0"/>
        </w:numPr>
      </w:pPr>
    </w:p>
    <w:p w14:paraId="1919D72D" w14:textId="7A8B6F07" w:rsidR="000346B8" w:rsidRPr="000346B8" w:rsidRDefault="000346B8" w:rsidP="000346B8">
      <w:pPr>
        <w:keepNext/>
        <w:numPr>
          <w:ilvl w:val="1"/>
          <w:numId w:val="1"/>
        </w:numPr>
        <w:tabs>
          <w:tab w:val="num" w:pos="1276"/>
        </w:tabs>
        <w:spacing w:before="150"/>
        <w:jc w:val="both"/>
        <w:outlineLvl w:val="1"/>
        <w:rPr>
          <w:rFonts w:eastAsia="Times New Roman" w:cs="Times New Roman"/>
          <w:b/>
          <w:color w:val="333333"/>
          <w:sz w:val="20"/>
          <w:szCs w:val="20"/>
        </w:rPr>
      </w:pPr>
      <w:r w:rsidRPr="000346B8">
        <w:rPr>
          <w:rFonts w:eastAsia="Times New Roman" w:cs="Times New Roman"/>
          <w:b/>
          <w:color w:val="333333"/>
          <w:sz w:val="20"/>
          <w:szCs w:val="20"/>
        </w:rPr>
        <w:t>Debt funding</w:t>
      </w:r>
      <w:r w:rsidR="00700618">
        <w:rPr>
          <w:rFonts w:eastAsia="Times New Roman" w:cs="Times New Roman"/>
          <w:b/>
          <w:color w:val="333333"/>
          <w:sz w:val="20"/>
          <w:szCs w:val="20"/>
        </w:rPr>
        <w:t xml:space="preserve"> update</w:t>
      </w:r>
    </w:p>
    <w:p w14:paraId="0F6095E5" w14:textId="732507EB" w:rsidR="000346B8" w:rsidRDefault="000346B8" w:rsidP="000346B8">
      <w:pPr>
        <w:keepNext/>
        <w:ind w:left="578"/>
        <w:jc w:val="both"/>
        <w:outlineLvl w:val="1"/>
        <w:rPr>
          <w:rFonts w:eastAsia="Times New Roman" w:cs="Times New Roman"/>
          <w:b/>
          <w:color w:val="333333"/>
          <w:sz w:val="20"/>
          <w:szCs w:val="20"/>
        </w:rPr>
      </w:pPr>
    </w:p>
    <w:p w14:paraId="010B5149" w14:textId="1D2A66A8" w:rsidR="00E257BA" w:rsidRDefault="004622B0" w:rsidP="00E257BA">
      <w:pPr>
        <w:spacing w:before="40" w:after="4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After the</w:t>
      </w:r>
      <w:r w:rsidR="391BD33D" w:rsidRPr="4E4D48DE">
        <w:rPr>
          <w:rFonts w:cs="Arial"/>
          <w:sz w:val="20"/>
          <w:szCs w:val="20"/>
        </w:rPr>
        <w:t xml:space="preserve"> Stage </w:t>
      </w:r>
      <w:r w:rsidR="7DC09AA6" w:rsidRPr="00225178">
        <w:rPr>
          <w:rFonts w:cs="Arial"/>
          <w:sz w:val="20"/>
          <w:szCs w:val="20"/>
        </w:rPr>
        <w:t>2</w:t>
      </w:r>
      <w:r w:rsidR="391BD33D" w:rsidRPr="4E4D48DE">
        <w:rPr>
          <w:rFonts w:cs="Arial"/>
          <w:sz w:val="20"/>
          <w:szCs w:val="20"/>
        </w:rPr>
        <w:t xml:space="preserve"> IC, </w:t>
      </w:r>
      <w:r>
        <w:rPr>
          <w:rFonts w:cs="Arial"/>
          <w:sz w:val="20"/>
          <w:szCs w:val="20"/>
        </w:rPr>
        <w:t xml:space="preserve">there was a revision in debt terms from the targeted lender, </w:t>
      </w:r>
      <w:proofErr w:type="spellStart"/>
      <w:r>
        <w:rPr>
          <w:rFonts w:cs="Arial"/>
          <w:sz w:val="20"/>
          <w:szCs w:val="20"/>
        </w:rPr>
        <w:t>Aozora</w:t>
      </w:r>
      <w:proofErr w:type="spellEnd"/>
      <w:r>
        <w:rPr>
          <w:rFonts w:cs="Arial"/>
          <w:sz w:val="20"/>
          <w:szCs w:val="20"/>
        </w:rPr>
        <w:t xml:space="preserve"> Bank, the existing lender of APAC 2 TMK (Project Yokohama-</w:t>
      </w:r>
      <w:proofErr w:type="spellStart"/>
      <w:r>
        <w:rPr>
          <w:rFonts w:cs="Arial"/>
          <w:sz w:val="20"/>
          <w:szCs w:val="20"/>
        </w:rPr>
        <w:t>Kitasaiwai</w:t>
      </w:r>
      <w:proofErr w:type="spellEnd"/>
      <w:r>
        <w:rPr>
          <w:rFonts w:cs="Arial"/>
          <w:sz w:val="20"/>
          <w:szCs w:val="20"/>
        </w:rPr>
        <w:t xml:space="preserve"> and Nishi-</w:t>
      </w:r>
      <w:proofErr w:type="spellStart"/>
      <w:r>
        <w:rPr>
          <w:rFonts w:cs="Arial"/>
          <w:sz w:val="20"/>
          <w:szCs w:val="20"/>
        </w:rPr>
        <w:t>Gotanda</w:t>
      </w:r>
      <w:proofErr w:type="spellEnd"/>
      <w:r>
        <w:rPr>
          <w:rFonts w:cs="Arial"/>
          <w:sz w:val="20"/>
          <w:szCs w:val="20"/>
        </w:rPr>
        <w:t>)</w:t>
      </w:r>
      <w:r w:rsidR="00422063">
        <w:rPr>
          <w:rFonts w:cs="Arial"/>
          <w:sz w:val="20"/>
          <w:szCs w:val="20"/>
        </w:rPr>
        <w:t xml:space="preserve">, </w:t>
      </w:r>
      <w:proofErr w:type="gramStart"/>
      <w:r w:rsidR="00422063">
        <w:rPr>
          <w:rFonts w:cs="Arial"/>
          <w:sz w:val="20"/>
          <w:szCs w:val="20"/>
        </w:rPr>
        <w:t>as a result of</w:t>
      </w:r>
      <w:proofErr w:type="gramEnd"/>
      <w:r w:rsidR="00422063">
        <w:rPr>
          <w:rFonts w:cs="Arial"/>
          <w:sz w:val="20"/>
          <w:szCs w:val="20"/>
        </w:rPr>
        <w:t xml:space="preserve"> internal discrepancies within </w:t>
      </w:r>
      <w:proofErr w:type="spellStart"/>
      <w:r w:rsidR="00422063">
        <w:rPr>
          <w:rFonts w:cs="Arial"/>
          <w:sz w:val="20"/>
          <w:szCs w:val="20"/>
        </w:rPr>
        <w:t>Aozora</w:t>
      </w:r>
      <w:proofErr w:type="spellEnd"/>
      <w:r w:rsidR="00422063">
        <w:rPr>
          <w:rFonts w:cs="Arial"/>
          <w:sz w:val="20"/>
          <w:szCs w:val="20"/>
        </w:rPr>
        <w:t xml:space="preserve"> Bank’s lending department and risk management team.</w:t>
      </w:r>
    </w:p>
    <w:p w14:paraId="4C27FBCD" w14:textId="34F3C0DD" w:rsidR="00AB6C10" w:rsidRDefault="00AB6C10" w:rsidP="00E257BA">
      <w:pPr>
        <w:spacing w:before="40" w:after="40"/>
        <w:rPr>
          <w:rFonts w:cs="Arial"/>
          <w:sz w:val="20"/>
          <w:szCs w:val="20"/>
        </w:rPr>
      </w:pPr>
    </w:p>
    <w:p w14:paraId="4BB3D669" w14:textId="2AC36DB0" w:rsidR="00422063" w:rsidRDefault="00422063" w:rsidP="00E257BA">
      <w:pPr>
        <w:spacing w:before="40" w:after="4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Change in terms:</w:t>
      </w:r>
    </w:p>
    <w:p w14:paraId="6B9651CB" w14:textId="77777777" w:rsidR="004F464B" w:rsidRDefault="004F464B" w:rsidP="00E257BA">
      <w:pPr>
        <w:spacing w:before="40" w:after="40"/>
        <w:rPr>
          <w:rFonts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544"/>
        <w:gridCol w:w="3777"/>
      </w:tblGrid>
      <w:tr w:rsidR="004F464B" w14:paraId="18F37CF2" w14:textId="77777777" w:rsidTr="00F613E5">
        <w:tc>
          <w:tcPr>
            <w:tcW w:w="1696" w:type="dxa"/>
            <w:shd w:val="clear" w:color="auto" w:fill="141414" w:themeFill="text1"/>
          </w:tcPr>
          <w:p w14:paraId="79CDAA4C" w14:textId="77777777" w:rsidR="004F464B" w:rsidRDefault="004F464B" w:rsidP="00E257BA">
            <w:pPr>
              <w:spacing w:before="40" w:after="40"/>
              <w:rPr>
                <w:rFonts w:cs="Arial"/>
              </w:rPr>
            </w:pPr>
          </w:p>
        </w:tc>
        <w:tc>
          <w:tcPr>
            <w:tcW w:w="3544" w:type="dxa"/>
            <w:shd w:val="clear" w:color="auto" w:fill="141414" w:themeFill="text1"/>
          </w:tcPr>
          <w:p w14:paraId="620B16E6" w14:textId="3258C532" w:rsidR="004F464B" w:rsidRDefault="004F464B" w:rsidP="004F464B">
            <w:pPr>
              <w:spacing w:before="40" w:after="40"/>
              <w:jc w:val="center"/>
              <w:rPr>
                <w:rFonts w:cs="Arial"/>
              </w:rPr>
            </w:pPr>
            <w:r>
              <w:rPr>
                <w:rFonts w:cs="Arial"/>
              </w:rPr>
              <w:t>Stage 2</w:t>
            </w:r>
          </w:p>
        </w:tc>
        <w:tc>
          <w:tcPr>
            <w:tcW w:w="3777" w:type="dxa"/>
            <w:shd w:val="clear" w:color="auto" w:fill="141414" w:themeFill="text1"/>
          </w:tcPr>
          <w:p w14:paraId="5E7A67F8" w14:textId="2BDEBB6D" w:rsidR="004F464B" w:rsidRDefault="00F613E5" w:rsidP="004F464B">
            <w:pPr>
              <w:spacing w:before="40" w:after="40"/>
              <w:jc w:val="center"/>
              <w:rPr>
                <w:rFonts w:cs="Arial"/>
              </w:rPr>
            </w:pPr>
            <w:r>
              <w:rPr>
                <w:rFonts w:cs="Arial"/>
              </w:rPr>
              <w:t>Stage 3</w:t>
            </w:r>
          </w:p>
        </w:tc>
      </w:tr>
      <w:tr w:rsidR="00F613E5" w14:paraId="651012DA" w14:textId="77777777" w:rsidTr="005E2508">
        <w:tc>
          <w:tcPr>
            <w:tcW w:w="1696" w:type="dxa"/>
          </w:tcPr>
          <w:p w14:paraId="4718674F" w14:textId="2B08754B" w:rsidR="00F613E5" w:rsidRDefault="00F613E5" w:rsidP="00F613E5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LTP / LTV</w:t>
            </w:r>
          </w:p>
        </w:tc>
        <w:tc>
          <w:tcPr>
            <w:tcW w:w="3544" w:type="dxa"/>
            <w:vAlign w:val="center"/>
          </w:tcPr>
          <w:p w14:paraId="0E402356" w14:textId="6FBA29C7" w:rsidR="00F613E5" w:rsidRPr="00F613E5" w:rsidRDefault="00F613E5" w:rsidP="00F613E5">
            <w:pPr>
              <w:rPr>
                <w:rFonts w:eastAsiaTheme="minorEastAsia" w:cs="Arial"/>
                <w:lang w:eastAsia="ja-JP"/>
              </w:rPr>
            </w:pPr>
            <w:r w:rsidRPr="00F613E5">
              <w:rPr>
                <w:rFonts w:eastAsiaTheme="minorEastAsia" w:cs="Arial"/>
                <w:lang w:eastAsia="ja-JP"/>
              </w:rPr>
              <w:t>65.0% LTP / 56.8% LTV</w:t>
            </w:r>
          </w:p>
        </w:tc>
        <w:tc>
          <w:tcPr>
            <w:tcW w:w="3777" w:type="dxa"/>
          </w:tcPr>
          <w:p w14:paraId="4D98415B" w14:textId="77F84C32" w:rsidR="00F613E5" w:rsidRDefault="00F613E5" w:rsidP="00F613E5">
            <w:pPr>
              <w:spacing w:before="40" w:after="40"/>
              <w:rPr>
                <w:rFonts w:cs="Arial"/>
              </w:rPr>
            </w:pPr>
            <w:r w:rsidRPr="00F613E5">
              <w:rPr>
                <w:rFonts w:eastAsiaTheme="minorEastAsia" w:cs="Arial"/>
                <w:lang w:eastAsia="ja-JP"/>
              </w:rPr>
              <w:t>6</w:t>
            </w:r>
            <w:r w:rsidR="001A31B0">
              <w:rPr>
                <w:rFonts w:eastAsiaTheme="minorEastAsia" w:cs="Arial"/>
                <w:lang w:eastAsia="ja-JP"/>
              </w:rPr>
              <w:t>1</w:t>
            </w:r>
            <w:r w:rsidRPr="00F613E5">
              <w:rPr>
                <w:rFonts w:eastAsiaTheme="minorEastAsia" w:cs="Arial"/>
                <w:lang w:eastAsia="ja-JP"/>
              </w:rPr>
              <w:t>.</w:t>
            </w:r>
            <w:r w:rsidR="001A31B0">
              <w:rPr>
                <w:rFonts w:eastAsiaTheme="minorEastAsia" w:cs="Arial"/>
                <w:lang w:eastAsia="ja-JP"/>
              </w:rPr>
              <w:t>1</w:t>
            </w:r>
            <w:r w:rsidRPr="00F613E5">
              <w:rPr>
                <w:rFonts w:eastAsiaTheme="minorEastAsia" w:cs="Arial"/>
                <w:lang w:eastAsia="ja-JP"/>
              </w:rPr>
              <w:t>% LTP / 5</w:t>
            </w:r>
            <w:r w:rsidR="001A31B0">
              <w:rPr>
                <w:rFonts w:eastAsiaTheme="minorEastAsia" w:cs="Arial"/>
                <w:lang w:eastAsia="ja-JP"/>
              </w:rPr>
              <w:t>3.4</w:t>
            </w:r>
            <w:r w:rsidRPr="00F613E5">
              <w:rPr>
                <w:rFonts w:eastAsiaTheme="minorEastAsia" w:cs="Arial"/>
                <w:lang w:eastAsia="ja-JP"/>
              </w:rPr>
              <w:t>% LTV</w:t>
            </w:r>
          </w:p>
        </w:tc>
      </w:tr>
      <w:tr w:rsidR="00F613E5" w14:paraId="52B00CED" w14:textId="77777777" w:rsidTr="005E2508">
        <w:tc>
          <w:tcPr>
            <w:tcW w:w="1696" w:type="dxa"/>
          </w:tcPr>
          <w:p w14:paraId="34560BC6" w14:textId="0A7B2EC9" w:rsidR="00F613E5" w:rsidRDefault="00F613E5" w:rsidP="00F613E5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Loan Amount</w:t>
            </w:r>
          </w:p>
        </w:tc>
        <w:tc>
          <w:tcPr>
            <w:tcW w:w="3544" w:type="dxa"/>
            <w:vAlign w:val="center"/>
          </w:tcPr>
          <w:p w14:paraId="640E6A78" w14:textId="7855AD87" w:rsidR="00F613E5" w:rsidRDefault="00F613E5" w:rsidP="00F613E5">
            <w:pPr>
              <w:spacing w:before="40" w:after="40"/>
              <w:rPr>
                <w:rFonts w:cs="Arial"/>
              </w:rPr>
            </w:pPr>
            <w:r w:rsidRPr="00B174C2">
              <w:rPr>
                <w:rFonts w:eastAsiaTheme="minorEastAsia" w:cs="Arial"/>
                <w:lang w:eastAsia="ja-JP"/>
              </w:rPr>
              <w:t>JPY 2,1</w:t>
            </w:r>
            <w:r w:rsidRPr="00CF63D7">
              <w:rPr>
                <w:rFonts w:eastAsiaTheme="minorEastAsia" w:cs="Arial"/>
                <w:lang w:eastAsia="ja-JP"/>
              </w:rPr>
              <w:t>58</w:t>
            </w:r>
            <w:r w:rsidRPr="00B174C2">
              <w:rPr>
                <w:rFonts w:eastAsiaTheme="minorEastAsia" w:cs="Arial"/>
                <w:lang w:eastAsia="ja-JP"/>
              </w:rPr>
              <w:t xml:space="preserve"> mm</w:t>
            </w:r>
          </w:p>
        </w:tc>
        <w:tc>
          <w:tcPr>
            <w:tcW w:w="3777" w:type="dxa"/>
          </w:tcPr>
          <w:p w14:paraId="181758A2" w14:textId="65DE09DA" w:rsidR="00F613E5" w:rsidRDefault="00F613E5" w:rsidP="00F613E5">
            <w:pPr>
              <w:spacing w:before="40" w:after="40"/>
              <w:rPr>
                <w:rFonts w:cs="Arial"/>
              </w:rPr>
            </w:pPr>
            <w:r w:rsidRPr="00B174C2">
              <w:rPr>
                <w:rFonts w:eastAsiaTheme="minorEastAsia" w:cs="Arial"/>
                <w:lang w:eastAsia="ja-JP"/>
              </w:rPr>
              <w:t>JPY 2,</w:t>
            </w:r>
            <w:r>
              <w:rPr>
                <w:rFonts w:eastAsiaTheme="minorEastAsia" w:cs="Arial"/>
                <w:lang w:eastAsia="ja-JP"/>
              </w:rPr>
              <w:t>030</w:t>
            </w:r>
            <w:r w:rsidRPr="00B174C2">
              <w:rPr>
                <w:rFonts w:eastAsiaTheme="minorEastAsia" w:cs="Arial"/>
                <w:lang w:eastAsia="ja-JP"/>
              </w:rPr>
              <w:t xml:space="preserve"> mm</w:t>
            </w:r>
          </w:p>
        </w:tc>
      </w:tr>
      <w:tr w:rsidR="00F613E5" w14:paraId="72039944" w14:textId="77777777" w:rsidTr="005E2508">
        <w:tc>
          <w:tcPr>
            <w:tcW w:w="1696" w:type="dxa"/>
          </w:tcPr>
          <w:p w14:paraId="46ECC447" w14:textId="1EE3BFEC" w:rsidR="00F613E5" w:rsidRDefault="00F613E5" w:rsidP="00F613E5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Loan Term</w:t>
            </w:r>
          </w:p>
        </w:tc>
        <w:tc>
          <w:tcPr>
            <w:tcW w:w="3544" w:type="dxa"/>
            <w:vAlign w:val="center"/>
          </w:tcPr>
          <w:p w14:paraId="0432AC04" w14:textId="4CFFFF53" w:rsidR="00F613E5" w:rsidRPr="00F613E5" w:rsidRDefault="00F613E5" w:rsidP="00F613E5">
            <w:pPr>
              <w:rPr>
                <w:rFonts w:eastAsiaTheme="minorEastAsia" w:cs="Arial"/>
                <w:lang w:eastAsia="ja-JP"/>
              </w:rPr>
            </w:pPr>
            <w:r w:rsidRPr="00F613E5">
              <w:rPr>
                <w:rFonts w:cs="Arial"/>
                <w:lang w:eastAsia="ja-JP"/>
              </w:rPr>
              <w:t>5.0-year term with 2.0-year tail period</w:t>
            </w:r>
          </w:p>
        </w:tc>
        <w:tc>
          <w:tcPr>
            <w:tcW w:w="3777" w:type="dxa"/>
          </w:tcPr>
          <w:p w14:paraId="26FDCF3A" w14:textId="721BBAE6" w:rsidR="00F613E5" w:rsidRPr="006D2BEB" w:rsidRDefault="00307121" w:rsidP="00F613E5">
            <w:pPr>
              <w:spacing w:before="40" w:after="40"/>
              <w:rPr>
                <w:rFonts w:eastAsiaTheme="minorEastAsia" w:cstheme="minorBidi"/>
                <w:lang w:eastAsia="en-US"/>
              </w:rPr>
            </w:pPr>
            <w:r w:rsidRPr="00013079">
              <w:t xml:space="preserve">3.5-year term </w:t>
            </w:r>
            <w:r w:rsidR="006D2BEB" w:rsidRPr="004B77F7">
              <w:t>[</w:t>
            </w:r>
            <w:r w:rsidRPr="004B77F7">
              <w:t xml:space="preserve">with </w:t>
            </w:r>
            <w:proofErr w:type="gramStart"/>
            <w:r w:rsidR="006D2BEB" w:rsidRPr="004B77F7">
              <w:rPr>
                <w:rFonts w:hint="eastAsia"/>
              </w:rPr>
              <w:t xml:space="preserve">1 or </w:t>
            </w:r>
            <w:r w:rsidRPr="004B77F7">
              <w:t>2</w:t>
            </w:r>
            <w:r w:rsidR="006D2BEB" w:rsidRPr="004B77F7">
              <w:rPr>
                <w:rFonts w:hint="eastAsia"/>
              </w:rPr>
              <w:t xml:space="preserve"> </w:t>
            </w:r>
            <w:r w:rsidRPr="004B77F7">
              <w:t>year</w:t>
            </w:r>
            <w:proofErr w:type="gramEnd"/>
            <w:r w:rsidRPr="004B77F7">
              <w:t xml:space="preserve"> </w:t>
            </w:r>
            <w:r w:rsidR="006D2BEB" w:rsidRPr="004B77F7">
              <w:rPr>
                <w:rFonts w:hint="eastAsia"/>
              </w:rPr>
              <w:t>extension</w:t>
            </w:r>
            <w:r w:rsidR="006C5C78" w:rsidRPr="004B77F7">
              <w:t xml:space="preserve"> (TBD)</w:t>
            </w:r>
            <w:r w:rsidR="006D2BEB" w:rsidRPr="004B77F7">
              <w:t>]</w:t>
            </w:r>
          </w:p>
        </w:tc>
      </w:tr>
      <w:tr w:rsidR="00F613E5" w14:paraId="05761F60" w14:textId="77777777" w:rsidTr="005E2508">
        <w:trPr>
          <w:trHeight w:val="1780"/>
        </w:trPr>
        <w:tc>
          <w:tcPr>
            <w:tcW w:w="1696" w:type="dxa"/>
          </w:tcPr>
          <w:p w14:paraId="0F1BC48F" w14:textId="3601E96D" w:rsidR="00F613E5" w:rsidRDefault="00F613E5" w:rsidP="00F613E5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Interest Rate</w:t>
            </w:r>
          </w:p>
        </w:tc>
        <w:tc>
          <w:tcPr>
            <w:tcW w:w="3544" w:type="dxa"/>
            <w:vAlign w:val="center"/>
          </w:tcPr>
          <w:p w14:paraId="696BB779" w14:textId="77777777" w:rsidR="00F613E5" w:rsidRDefault="00F613E5" w:rsidP="00F613E5">
            <w:pPr>
              <w:rPr>
                <w:lang w:eastAsia="ja-JP"/>
              </w:rPr>
            </w:pPr>
            <w:r w:rsidRPr="00B174C2">
              <w:rPr>
                <w:lang w:eastAsia="ja-JP"/>
              </w:rPr>
              <w:t xml:space="preserve">1.15% spread over base </w:t>
            </w:r>
            <w:proofErr w:type="gramStart"/>
            <w:r w:rsidRPr="00B174C2">
              <w:rPr>
                <w:lang w:eastAsia="ja-JP"/>
              </w:rPr>
              <w:t>rate</w:t>
            </w:r>
            <w:proofErr w:type="gramEnd"/>
          </w:p>
          <w:p w14:paraId="6464B5E2" w14:textId="77777777" w:rsidR="00F613E5" w:rsidRDefault="00F613E5" w:rsidP="00F613E5">
            <w:pPr>
              <w:rPr>
                <w:lang w:eastAsia="ja-JP"/>
              </w:rPr>
            </w:pPr>
          </w:p>
          <w:p w14:paraId="3750695B" w14:textId="646A7DB0" w:rsidR="00F613E5" w:rsidRPr="00F613E5" w:rsidRDefault="00F613E5" w:rsidP="00F613E5">
            <w:pPr>
              <w:rPr>
                <w:rFonts w:eastAsiaTheme="minorEastAsia"/>
                <w:lang w:eastAsia="ja-JP"/>
              </w:rPr>
            </w:pPr>
            <w:r w:rsidRPr="00B174C2">
              <w:rPr>
                <w:lang w:eastAsia="ja-JP"/>
              </w:rPr>
              <w:t xml:space="preserve">TONA swap rate with floor at 0% – </w:t>
            </w:r>
            <w:r w:rsidRPr="00CF63D7">
              <w:rPr>
                <w:lang w:eastAsia="ja-JP"/>
              </w:rPr>
              <w:t>for reference, 5-year TONA Swap priced at 52bps as of 8 Feb. 2024, 5-year forward starting TONA Swap from 30</w:t>
            </w:r>
            <w:r w:rsidRPr="00B174C2">
              <w:rPr>
                <w:lang w:eastAsia="ja-JP"/>
              </w:rPr>
              <w:t xml:space="preserve"> </w:t>
            </w:r>
            <w:r w:rsidRPr="00CF63D7">
              <w:rPr>
                <w:lang w:eastAsia="ja-JP"/>
              </w:rPr>
              <w:t>April 2024 currently 56bps</w:t>
            </w:r>
          </w:p>
        </w:tc>
        <w:tc>
          <w:tcPr>
            <w:tcW w:w="3777" w:type="dxa"/>
            <w:vAlign w:val="center"/>
          </w:tcPr>
          <w:p w14:paraId="4AAB7EB6" w14:textId="77777777" w:rsidR="00F613E5" w:rsidRPr="00307121" w:rsidRDefault="00307121" w:rsidP="00307121">
            <w:pPr>
              <w:rPr>
                <w:lang w:eastAsia="ja-JP"/>
              </w:rPr>
            </w:pPr>
            <w:r>
              <w:rPr>
                <w:rFonts w:cs="Arial"/>
              </w:rPr>
              <w:t>1</w:t>
            </w:r>
            <w:r w:rsidRPr="00307121">
              <w:rPr>
                <w:lang w:eastAsia="ja-JP"/>
              </w:rPr>
              <w:t xml:space="preserve">.127% spread over base </w:t>
            </w:r>
            <w:proofErr w:type="gramStart"/>
            <w:r w:rsidRPr="00307121">
              <w:rPr>
                <w:lang w:eastAsia="ja-JP"/>
              </w:rPr>
              <w:t>rate</w:t>
            </w:r>
            <w:proofErr w:type="gramEnd"/>
          </w:p>
          <w:p w14:paraId="2A0DF091" w14:textId="77777777" w:rsidR="00307121" w:rsidRPr="00307121" w:rsidRDefault="00307121" w:rsidP="00307121">
            <w:pPr>
              <w:rPr>
                <w:lang w:eastAsia="ja-JP"/>
              </w:rPr>
            </w:pPr>
          </w:p>
          <w:p w14:paraId="22E6A5DF" w14:textId="563DA584" w:rsidR="00307121" w:rsidRDefault="00EA44E7" w:rsidP="00307121">
            <w:pPr>
              <w:rPr>
                <w:rFonts w:cs="Arial"/>
              </w:rPr>
            </w:pPr>
            <w:r>
              <w:rPr>
                <w:lang w:eastAsia="ja-JP"/>
              </w:rPr>
              <w:t xml:space="preserve">Underwriting assumes 60bps base rate as conservative estimate. </w:t>
            </w:r>
            <w:r w:rsidRPr="00EA44E7">
              <w:rPr>
                <w:lang w:eastAsia="ja-JP"/>
              </w:rPr>
              <w:t>The base rate will be fixed two business days prior to closing</w:t>
            </w:r>
            <w:r w:rsidR="006D30FC">
              <w:rPr>
                <w:lang w:eastAsia="ja-JP"/>
              </w:rPr>
              <w:t>,</w:t>
            </w:r>
            <w:r w:rsidR="00065CFD" w:rsidRPr="00065CFD">
              <w:rPr>
                <w:lang w:eastAsia="ja-JP"/>
              </w:rPr>
              <w:t xml:space="preserve"> interpolated from the </w:t>
            </w:r>
            <w:proofErr w:type="gramStart"/>
            <w:r w:rsidR="00065CFD" w:rsidRPr="00065CFD">
              <w:rPr>
                <w:lang w:eastAsia="ja-JP"/>
              </w:rPr>
              <w:t>3 and 4 year</w:t>
            </w:r>
            <w:proofErr w:type="gramEnd"/>
            <w:r w:rsidR="00065CFD" w:rsidRPr="00065CFD">
              <w:rPr>
                <w:lang w:eastAsia="ja-JP"/>
              </w:rPr>
              <w:t xml:space="preserve"> swap.</w:t>
            </w:r>
          </w:p>
        </w:tc>
      </w:tr>
      <w:tr w:rsidR="00F613E5" w14:paraId="794498F9" w14:textId="77777777" w:rsidTr="005E2508">
        <w:tc>
          <w:tcPr>
            <w:tcW w:w="1696" w:type="dxa"/>
          </w:tcPr>
          <w:p w14:paraId="1F9E64AB" w14:textId="4ED8E7CA" w:rsidR="00F613E5" w:rsidRDefault="00F613E5" w:rsidP="00F613E5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Upfront Fee</w:t>
            </w:r>
          </w:p>
        </w:tc>
        <w:tc>
          <w:tcPr>
            <w:tcW w:w="3544" w:type="dxa"/>
            <w:vAlign w:val="center"/>
          </w:tcPr>
          <w:p w14:paraId="1A88AFD7" w14:textId="4754772E" w:rsidR="00F613E5" w:rsidRDefault="00F613E5" w:rsidP="00F613E5">
            <w:pPr>
              <w:spacing w:before="40" w:after="40"/>
              <w:rPr>
                <w:rFonts w:cs="Arial"/>
              </w:rPr>
            </w:pPr>
            <w:r w:rsidRPr="00B174C2">
              <w:rPr>
                <w:rFonts w:cs="Arial"/>
                <w:lang w:eastAsia="ja-JP"/>
              </w:rPr>
              <w:t>1.0%</w:t>
            </w:r>
          </w:p>
        </w:tc>
        <w:tc>
          <w:tcPr>
            <w:tcW w:w="3777" w:type="dxa"/>
          </w:tcPr>
          <w:p w14:paraId="08CE9C08" w14:textId="077A0211" w:rsidR="00F613E5" w:rsidRDefault="00307121" w:rsidP="00F613E5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1.0%</w:t>
            </w:r>
          </w:p>
        </w:tc>
      </w:tr>
      <w:tr w:rsidR="00307121" w14:paraId="094C1AF6" w14:textId="77777777" w:rsidTr="005E2508">
        <w:tc>
          <w:tcPr>
            <w:tcW w:w="1696" w:type="dxa"/>
          </w:tcPr>
          <w:p w14:paraId="57AD7FE4" w14:textId="79DA68FD" w:rsidR="00307121" w:rsidRDefault="00307121" w:rsidP="00307121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Amortization</w:t>
            </w:r>
          </w:p>
        </w:tc>
        <w:tc>
          <w:tcPr>
            <w:tcW w:w="3544" w:type="dxa"/>
            <w:vAlign w:val="center"/>
          </w:tcPr>
          <w:p w14:paraId="36103C59" w14:textId="5AB02301" w:rsidR="00307121" w:rsidRDefault="00307121" w:rsidP="00307121">
            <w:pPr>
              <w:spacing w:before="40" w:after="40"/>
              <w:rPr>
                <w:rFonts w:cs="Arial"/>
              </w:rPr>
            </w:pPr>
            <w:r w:rsidRPr="00B174C2">
              <w:rPr>
                <w:rFonts w:eastAsiaTheme="minorEastAsia" w:cs="Arial"/>
                <w:lang w:eastAsia="ja-JP"/>
              </w:rPr>
              <w:t>2.50% per annum in 4-5 year</w:t>
            </w:r>
          </w:p>
        </w:tc>
        <w:tc>
          <w:tcPr>
            <w:tcW w:w="3777" w:type="dxa"/>
          </w:tcPr>
          <w:p w14:paraId="27E7F91A" w14:textId="67204EDD" w:rsidR="00307121" w:rsidRDefault="00307121" w:rsidP="00307121">
            <w:pPr>
              <w:spacing w:before="40" w:after="40"/>
              <w:rPr>
                <w:rFonts w:cs="Arial"/>
              </w:rPr>
            </w:pPr>
            <w:r w:rsidRPr="00B174C2">
              <w:rPr>
                <w:rFonts w:eastAsiaTheme="minorEastAsia" w:cs="Arial"/>
                <w:lang w:eastAsia="ja-JP"/>
              </w:rPr>
              <w:t xml:space="preserve">2.50% per annum </w:t>
            </w:r>
            <w:r w:rsidR="005C1BF9">
              <w:rPr>
                <w:rFonts w:eastAsiaTheme="minorEastAsia" w:cs="Arial"/>
                <w:lang w:eastAsia="ja-JP"/>
              </w:rPr>
              <w:t>from Year</w:t>
            </w:r>
            <w:r w:rsidRPr="00B174C2">
              <w:rPr>
                <w:rFonts w:eastAsiaTheme="minorEastAsia" w:cs="Arial"/>
                <w:lang w:eastAsia="ja-JP"/>
              </w:rPr>
              <w:t xml:space="preserve"> 4</w:t>
            </w:r>
          </w:p>
        </w:tc>
      </w:tr>
      <w:tr w:rsidR="00307121" w14:paraId="25D80294" w14:textId="77777777" w:rsidTr="005E2508">
        <w:tc>
          <w:tcPr>
            <w:tcW w:w="1696" w:type="dxa"/>
          </w:tcPr>
          <w:p w14:paraId="47B311E7" w14:textId="492F6CA8" w:rsidR="00307121" w:rsidRDefault="00307121" w:rsidP="00307121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Release Price</w:t>
            </w:r>
          </w:p>
        </w:tc>
        <w:tc>
          <w:tcPr>
            <w:tcW w:w="3544" w:type="dxa"/>
            <w:vAlign w:val="center"/>
          </w:tcPr>
          <w:p w14:paraId="3BC2B026" w14:textId="04F67B10" w:rsidR="00307121" w:rsidRDefault="00307121" w:rsidP="00307121">
            <w:pPr>
              <w:spacing w:before="40" w:after="40"/>
              <w:rPr>
                <w:rFonts w:cs="Arial"/>
              </w:rPr>
            </w:pPr>
            <w:r w:rsidRPr="00B174C2">
              <w:rPr>
                <w:rFonts w:eastAsiaTheme="minorEastAsia" w:cs="Arial"/>
                <w:lang w:eastAsia="ja-JP"/>
              </w:rPr>
              <w:t>110%</w:t>
            </w:r>
          </w:p>
        </w:tc>
        <w:tc>
          <w:tcPr>
            <w:tcW w:w="3777" w:type="dxa"/>
          </w:tcPr>
          <w:p w14:paraId="36EC647E" w14:textId="27096AE7" w:rsidR="00307121" w:rsidRPr="00D13F7E" w:rsidRDefault="00307121" w:rsidP="00307121">
            <w:pPr>
              <w:spacing w:before="40" w:after="40"/>
              <w:rPr>
                <w:rFonts w:cs="Arial"/>
              </w:rPr>
            </w:pPr>
            <w:r w:rsidRPr="00D13F7E">
              <w:rPr>
                <w:rFonts w:eastAsiaTheme="minorEastAsia" w:cs="Arial"/>
                <w:lang w:eastAsia="ja-JP"/>
              </w:rPr>
              <w:t>110%</w:t>
            </w:r>
          </w:p>
        </w:tc>
      </w:tr>
      <w:tr w:rsidR="00307121" w14:paraId="22CCC9EA" w14:textId="77777777" w:rsidTr="005E2508">
        <w:tc>
          <w:tcPr>
            <w:tcW w:w="1696" w:type="dxa"/>
          </w:tcPr>
          <w:p w14:paraId="5195C477" w14:textId="77777777" w:rsidR="00307121" w:rsidRDefault="00307121" w:rsidP="00307121">
            <w:pPr>
              <w:spacing w:before="40" w:after="40"/>
              <w:rPr>
                <w:rFonts w:cs="Arial"/>
              </w:rPr>
            </w:pPr>
          </w:p>
        </w:tc>
        <w:tc>
          <w:tcPr>
            <w:tcW w:w="3544" w:type="dxa"/>
            <w:vAlign w:val="center"/>
          </w:tcPr>
          <w:p w14:paraId="799EDF05" w14:textId="77777777" w:rsidR="00307121" w:rsidRDefault="00307121" w:rsidP="00307121">
            <w:pPr>
              <w:spacing w:before="40" w:after="40"/>
              <w:rPr>
                <w:rFonts w:cs="Arial"/>
              </w:rPr>
            </w:pPr>
          </w:p>
        </w:tc>
        <w:tc>
          <w:tcPr>
            <w:tcW w:w="3777" w:type="dxa"/>
          </w:tcPr>
          <w:p w14:paraId="5EDEC231" w14:textId="77777777" w:rsidR="00307121" w:rsidRDefault="00307121" w:rsidP="00307121">
            <w:pPr>
              <w:spacing w:before="40" w:after="40"/>
              <w:rPr>
                <w:rFonts w:cs="Arial"/>
              </w:rPr>
            </w:pPr>
          </w:p>
        </w:tc>
      </w:tr>
      <w:tr w:rsidR="00307121" w14:paraId="7ECF4CA9" w14:textId="77777777" w:rsidTr="00AF3924">
        <w:tc>
          <w:tcPr>
            <w:tcW w:w="1696" w:type="dxa"/>
          </w:tcPr>
          <w:p w14:paraId="256AD001" w14:textId="5A847445" w:rsidR="00307121" w:rsidRDefault="00307121" w:rsidP="00307121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DSCR Test</w:t>
            </w:r>
          </w:p>
        </w:tc>
        <w:tc>
          <w:tcPr>
            <w:tcW w:w="3544" w:type="dxa"/>
            <w:vAlign w:val="center"/>
          </w:tcPr>
          <w:p w14:paraId="0DBA8079" w14:textId="1BB343D9" w:rsidR="00307121" w:rsidRDefault="00307121" w:rsidP="00307121">
            <w:pPr>
              <w:spacing w:before="40" w:after="40"/>
              <w:rPr>
                <w:rFonts w:cs="Arial"/>
              </w:rPr>
            </w:pPr>
            <w:r w:rsidRPr="00B174C2">
              <w:rPr>
                <w:rFonts w:cs="Arial"/>
                <w:lang w:eastAsia="ja-JP"/>
              </w:rPr>
              <w:t>2024.10~: 2.73x</w:t>
            </w:r>
          </w:p>
        </w:tc>
        <w:tc>
          <w:tcPr>
            <w:tcW w:w="3777" w:type="dxa"/>
            <w:vAlign w:val="center"/>
          </w:tcPr>
          <w:p w14:paraId="46DF47B9" w14:textId="0F0B3C8D" w:rsidR="00307121" w:rsidRDefault="00DA2EC4" w:rsidP="00307121">
            <w:pPr>
              <w:spacing w:before="40" w:after="40"/>
              <w:rPr>
                <w:rFonts w:cs="Arial"/>
              </w:rPr>
            </w:pPr>
            <w:r w:rsidRPr="00DA2EC4">
              <w:rPr>
                <w:rFonts w:cs="Arial"/>
              </w:rPr>
              <w:t>2024.10~:</w:t>
            </w:r>
            <w:r w:rsidR="00F71068">
              <w:t xml:space="preserve"> </w:t>
            </w:r>
            <w:r w:rsidR="00F71068" w:rsidRPr="00F71068">
              <w:rPr>
                <w:rFonts w:cs="Arial"/>
              </w:rPr>
              <w:t>3.045</w:t>
            </w:r>
            <w:r w:rsidR="006D2BEB">
              <w:rPr>
                <w:rFonts w:cs="Arial"/>
              </w:rPr>
              <w:t>x</w:t>
            </w:r>
          </w:p>
        </w:tc>
      </w:tr>
      <w:tr w:rsidR="00307121" w14:paraId="457D8F9D" w14:textId="77777777" w:rsidTr="00AF3924">
        <w:tc>
          <w:tcPr>
            <w:tcW w:w="1696" w:type="dxa"/>
          </w:tcPr>
          <w:p w14:paraId="58C3709D" w14:textId="3D339DB8" w:rsidR="00307121" w:rsidRDefault="00307121" w:rsidP="00307121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LTV Test</w:t>
            </w:r>
          </w:p>
        </w:tc>
        <w:tc>
          <w:tcPr>
            <w:tcW w:w="3544" w:type="dxa"/>
            <w:vAlign w:val="center"/>
          </w:tcPr>
          <w:p w14:paraId="46ACE545" w14:textId="77777777" w:rsidR="00307121" w:rsidRPr="00F613E5" w:rsidRDefault="00307121" w:rsidP="00307121">
            <w:pPr>
              <w:rPr>
                <w:rFonts w:eastAsiaTheme="minorEastAsia" w:cs="Arial"/>
                <w:lang w:eastAsia="ja-JP"/>
              </w:rPr>
            </w:pPr>
            <w:r w:rsidRPr="00F613E5">
              <w:rPr>
                <w:rFonts w:eastAsiaTheme="minorEastAsia" w:cs="Arial"/>
                <w:lang w:eastAsia="ja-JP"/>
              </w:rPr>
              <w:t>Before Harumi acquisition: 64.0%</w:t>
            </w:r>
          </w:p>
          <w:p w14:paraId="5CC41DFC" w14:textId="5B096D89" w:rsidR="00307121" w:rsidRPr="00F613E5" w:rsidRDefault="00307121" w:rsidP="00307121">
            <w:pPr>
              <w:rPr>
                <w:rFonts w:eastAsiaTheme="minorEastAsia" w:cs="Arial"/>
                <w:lang w:eastAsia="ja-JP"/>
              </w:rPr>
            </w:pPr>
            <w:r w:rsidRPr="00F613E5">
              <w:rPr>
                <w:rFonts w:eastAsiaTheme="minorEastAsia" w:cs="Arial"/>
                <w:lang w:eastAsia="ja-JP"/>
              </w:rPr>
              <w:t>After Harumi acquisition: TBD</w:t>
            </w:r>
          </w:p>
        </w:tc>
        <w:tc>
          <w:tcPr>
            <w:tcW w:w="3777" w:type="dxa"/>
            <w:vAlign w:val="center"/>
          </w:tcPr>
          <w:p w14:paraId="6ABF3C6A" w14:textId="72088E5B" w:rsidR="00307121" w:rsidRDefault="00F71068" w:rsidP="00307121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TBD</w:t>
            </w:r>
          </w:p>
        </w:tc>
      </w:tr>
      <w:tr w:rsidR="00307121" w14:paraId="7043C8E4" w14:textId="77777777" w:rsidTr="00F613E5">
        <w:tc>
          <w:tcPr>
            <w:tcW w:w="1696" w:type="dxa"/>
          </w:tcPr>
          <w:p w14:paraId="7CFB6375" w14:textId="292CB274" w:rsidR="00307121" w:rsidRDefault="00307121" w:rsidP="00307121">
            <w:pPr>
              <w:spacing w:before="40" w:after="40"/>
              <w:rPr>
                <w:rFonts w:cs="Arial"/>
              </w:rPr>
            </w:pPr>
          </w:p>
        </w:tc>
        <w:tc>
          <w:tcPr>
            <w:tcW w:w="3544" w:type="dxa"/>
          </w:tcPr>
          <w:p w14:paraId="53236F25" w14:textId="77777777" w:rsidR="00307121" w:rsidRDefault="00307121" w:rsidP="00307121">
            <w:pPr>
              <w:spacing w:before="40" w:after="40"/>
              <w:rPr>
                <w:rFonts w:cs="Arial"/>
              </w:rPr>
            </w:pPr>
          </w:p>
        </w:tc>
        <w:tc>
          <w:tcPr>
            <w:tcW w:w="3777" w:type="dxa"/>
          </w:tcPr>
          <w:p w14:paraId="116BD129" w14:textId="77777777" w:rsidR="00307121" w:rsidRDefault="00307121" w:rsidP="00307121">
            <w:pPr>
              <w:spacing w:before="40" w:after="40"/>
              <w:rPr>
                <w:rFonts w:cs="Arial"/>
              </w:rPr>
            </w:pPr>
          </w:p>
        </w:tc>
      </w:tr>
      <w:tr w:rsidR="001A31B0" w14:paraId="7629F398" w14:textId="77777777" w:rsidTr="001A31B0">
        <w:tc>
          <w:tcPr>
            <w:tcW w:w="9017" w:type="dxa"/>
            <w:gridSpan w:val="3"/>
            <w:shd w:val="clear" w:color="auto" w:fill="141414" w:themeFill="text1"/>
          </w:tcPr>
          <w:p w14:paraId="2E93C644" w14:textId="5B6C48A9" w:rsidR="001A31B0" w:rsidRDefault="001A31B0" w:rsidP="00307121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Comments</w:t>
            </w:r>
          </w:p>
        </w:tc>
      </w:tr>
      <w:tr w:rsidR="001A31B0" w14:paraId="1BD04AC7" w14:textId="77777777" w:rsidTr="001A31B0">
        <w:trPr>
          <w:trHeight w:val="1391"/>
        </w:trPr>
        <w:tc>
          <w:tcPr>
            <w:tcW w:w="9017" w:type="dxa"/>
            <w:gridSpan w:val="3"/>
          </w:tcPr>
          <w:p w14:paraId="25C39894" w14:textId="0CB452D8" w:rsidR="001A31B0" w:rsidRPr="00E200AC" w:rsidRDefault="001A31B0" w:rsidP="001A31B0">
            <w:pPr>
              <w:tabs>
                <w:tab w:val="left" w:pos="800"/>
              </w:tabs>
              <w:spacing w:before="40" w:after="40"/>
              <w:rPr>
                <w:rFonts w:cs="Arial"/>
                <w:lang w:eastAsia="ja-JP"/>
              </w:rPr>
            </w:pPr>
            <w:r w:rsidRPr="00E200AC">
              <w:rPr>
                <w:rFonts w:cs="Arial"/>
                <w:lang w:eastAsia="ja-JP"/>
              </w:rPr>
              <w:t>A breach of DSCR/LTV test would result in cash trap, and then sweep after 2nd consecutive DSCR test breach or LTV test breach.</w:t>
            </w:r>
          </w:p>
          <w:p w14:paraId="5BC133D7" w14:textId="77777777" w:rsidR="001A31B0" w:rsidRPr="00E200AC" w:rsidRDefault="001A31B0" w:rsidP="00BC5A22">
            <w:pPr>
              <w:tabs>
                <w:tab w:val="left" w:pos="800"/>
              </w:tabs>
              <w:spacing w:before="40" w:after="40"/>
              <w:rPr>
                <w:rFonts w:cs="Arial"/>
                <w:lang w:eastAsia="ja-JP"/>
              </w:rPr>
            </w:pPr>
          </w:p>
          <w:p w14:paraId="1DEEA349" w14:textId="69267594" w:rsidR="001A31B0" w:rsidRPr="00BC5A22" w:rsidRDefault="001A31B0" w:rsidP="001A31B0">
            <w:pPr>
              <w:tabs>
                <w:tab w:val="left" w:pos="800"/>
              </w:tabs>
              <w:spacing w:before="40" w:after="40"/>
              <w:rPr>
                <w:rFonts w:cs="Arial"/>
                <w:color w:val="FF0000"/>
                <w:lang w:eastAsia="ja-JP"/>
              </w:rPr>
            </w:pPr>
            <w:r w:rsidRPr="00E200AC">
              <w:rPr>
                <w:rFonts w:cs="Arial"/>
                <w:lang w:eastAsia="ja-JP"/>
              </w:rPr>
              <w:t>From Jan 2026 onwards, a breach of 4th consecutive DSCR test would require a mandatory prepayment of JPY200mm. This would be a one-off pay down; there would be no obligation to top up again in the case of any subsequent DSCR breach. There is no Event of Default for a DSCR breach even if continuous.</w:t>
            </w:r>
          </w:p>
          <w:p w14:paraId="78BD937E" w14:textId="020C7004" w:rsidR="001A31B0" w:rsidRDefault="001A31B0" w:rsidP="001A31B0">
            <w:pPr>
              <w:rPr>
                <w:rFonts w:cs="Arial"/>
                <w:lang w:eastAsia="ja-JP"/>
              </w:rPr>
            </w:pPr>
          </w:p>
        </w:tc>
      </w:tr>
    </w:tbl>
    <w:p w14:paraId="4A3C1B99" w14:textId="77777777" w:rsidR="004F464B" w:rsidRDefault="004F464B" w:rsidP="00E257BA">
      <w:pPr>
        <w:spacing w:before="40" w:after="40"/>
        <w:rPr>
          <w:rFonts w:cs="Arial"/>
          <w:sz w:val="20"/>
          <w:szCs w:val="20"/>
        </w:rPr>
      </w:pPr>
    </w:p>
    <w:p w14:paraId="180B3560" w14:textId="77777777" w:rsidR="00E257BA" w:rsidRPr="000346B8" w:rsidRDefault="00E257BA" w:rsidP="000346B8">
      <w:pPr>
        <w:keepNext/>
        <w:ind w:left="578"/>
        <w:jc w:val="both"/>
        <w:outlineLvl w:val="1"/>
        <w:rPr>
          <w:rFonts w:eastAsia="Times New Roman" w:cs="Times New Roman"/>
          <w:b/>
          <w:color w:val="333333"/>
          <w:sz w:val="20"/>
          <w:szCs w:val="20"/>
        </w:rPr>
      </w:pPr>
    </w:p>
    <w:tbl>
      <w:tblPr>
        <w:tblW w:w="9322" w:type="dxa"/>
        <w:tblBorders>
          <w:top w:val="single" w:sz="4" w:space="0" w:color="808080"/>
          <w:bottom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4503"/>
        <w:gridCol w:w="4819"/>
      </w:tblGrid>
      <w:tr w:rsidR="001A31B0" w:rsidRPr="00ED33CB" w14:paraId="465D889E" w14:textId="77777777">
        <w:trPr>
          <w:trHeight w:val="254"/>
        </w:trPr>
        <w:tc>
          <w:tcPr>
            <w:tcW w:w="4503" w:type="dxa"/>
            <w:shd w:val="clear" w:color="auto" w:fill="021D49"/>
            <w:vAlign w:val="center"/>
          </w:tcPr>
          <w:p w14:paraId="0C56AA14" w14:textId="77777777" w:rsidR="001A31B0" w:rsidRPr="009F3DF3" w:rsidRDefault="001A31B0">
            <w:pPr>
              <w:ind w:left="142"/>
              <w:jc w:val="center"/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</w:pPr>
            <w:r w:rsidRPr="009F3DF3"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  <w:t>ISSUE / ADVISOR COMMENT</w:t>
            </w:r>
          </w:p>
        </w:tc>
        <w:tc>
          <w:tcPr>
            <w:tcW w:w="4819" w:type="dxa"/>
            <w:shd w:val="clear" w:color="auto" w:fill="021D49"/>
            <w:vAlign w:val="center"/>
          </w:tcPr>
          <w:p w14:paraId="73C77843" w14:textId="77777777" w:rsidR="001A31B0" w:rsidRPr="009F3DF3" w:rsidRDefault="001A31B0">
            <w:pPr>
              <w:ind w:left="142"/>
              <w:jc w:val="center"/>
              <w:rPr>
                <w:rFonts w:cs="Arial"/>
                <w:b/>
                <w:bCs/>
                <w:color w:val="DDE5E9"/>
                <w:sz w:val="20"/>
                <w:szCs w:val="20"/>
              </w:rPr>
            </w:pPr>
            <w:r w:rsidRPr="009F3DF3"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  <w:t>ACTIONS / TIMESCALE / COST</w:t>
            </w:r>
          </w:p>
        </w:tc>
      </w:tr>
      <w:tr w:rsidR="001A31B0" w:rsidRPr="00ED33CB" w14:paraId="097971AB" w14:textId="77777777">
        <w:trPr>
          <w:trHeight w:val="201"/>
        </w:trPr>
        <w:tc>
          <w:tcPr>
            <w:tcW w:w="9322" w:type="dxa"/>
            <w:gridSpan w:val="2"/>
          </w:tcPr>
          <w:p w14:paraId="262C3852" w14:textId="77777777" w:rsidR="001A31B0" w:rsidRPr="009F3DF3" w:rsidRDefault="001A31B0">
            <w:pPr>
              <w:spacing w:before="40" w:after="40"/>
              <w:rPr>
                <w:rFonts w:cs="Arial"/>
                <w:sz w:val="20"/>
                <w:szCs w:val="20"/>
              </w:rPr>
            </w:pPr>
            <w:r w:rsidRPr="009F3DF3">
              <w:rPr>
                <w:rFonts w:cs="Arial"/>
                <w:sz w:val="20"/>
                <w:szCs w:val="20"/>
              </w:rPr>
              <w:t xml:space="preserve">Debt </w:t>
            </w:r>
            <w:proofErr w:type="gramStart"/>
            <w:r w:rsidRPr="009F3DF3">
              <w:rPr>
                <w:rFonts w:cs="Arial"/>
                <w:sz w:val="20"/>
                <w:szCs w:val="20"/>
              </w:rPr>
              <w:t>exit</w:t>
            </w:r>
            <w:proofErr w:type="gramEnd"/>
            <w:r w:rsidRPr="009F3DF3">
              <w:rPr>
                <w:rFonts w:cs="Arial"/>
                <w:sz w:val="20"/>
                <w:szCs w:val="20"/>
              </w:rPr>
              <w:t xml:space="preserve"> costs</w:t>
            </w:r>
          </w:p>
        </w:tc>
      </w:tr>
      <w:tr w:rsidR="001A31B0" w:rsidRPr="00ED33CB" w14:paraId="30913520" w14:textId="77777777">
        <w:trPr>
          <w:trHeight w:val="848"/>
        </w:trPr>
        <w:tc>
          <w:tcPr>
            <w:tcW w:w="4503" w:type="dxa"/>
          </w:tcPr>
          <w:p w14:paraId="130A525D" w14:textId="77777777" w:rsidR="001A31B0" w:rsidRDefault="001A31B0">
            <w:pPr>
              <w:spacing w:before="40" w:after="40"/>
              <w:rPr>
                <w:rFonts w:eastAsia="Times New Roman" w:cs="Arial"/>
                <w:sz w:val="20"/>
                <w:szCs w:val="20"/>
                <w:lang w:val="en-US" w:eastAsia="ja-JP"/>
              </w:rPr>
            </w:pPr>
            <w:r>
              <w:rPr>
                <w:rFonts w:eastAsia="Times New Roman" w:cs="Arial"/>
                <w:sz w:val="20"/>
                <w:szCs w:val="20"/>
                <w:lang w:val="en-US" w:eastAsia="ja-JP"/>
              </w:rPr>
              <w:t>Under the fixed base rate assumption, breakage fee will apply if exiting the deal prior to maturity of the loan.</w:t>
            </w:r>
          </w:p>
          <w:p w14:paraId="0E0677D4" w14:textId="77777777" w:rsidR="001A31B0" w:rsidRDefault="001A31B0">
            <w:pPr>
              <w:spacing w:before="40" w:after="40"/>
              <w:rPr>
                <w:rFonts w:cs="Arial"/>
                <w:sz w:val="20"/>
                <w:szCs w:val="20"/>
                <w:lang w:val="en-US" w:eastAsia="ja-JP"/>
              </w:rPr>
            </w:pPr>
          </w:p>
          <w:p w14:paraId="292FC2C7" w14:textId="77777777" w:rsidR="001A31B0" w:rsidRPr="009F3DF3" w:rsidRDefault="001A31B0">
            <w:pPr>
              <w:spacing w:before="40" w:after="40"/>
              <w:rPr>
                <w:rFonts w:cs="Arial"/>
                <w:sz w:val="20"/>
                <w:szCs w:val="20"/>
                <w:lang w:eastAsia="ja-JP"/>
              </w:rPr>
            </w:pPr>
            <w:r>
              <w:rPr>
                <w:rFonts w:cs="Arial" w:hint="eastAsia"/>
                <w:sz w:val="20"/>
                <w:szCs w:val="20"/>
                <w:lang w:val="en-US" w:eastAsia="ja-JP"/>
              </w:rPr>
              <w:t>S</w:t>
            </w:r>
            <w:r>
              <w:rPr>
                <w:rFonts w:cs="Arial"/>
                <w:sz w:val="20"/>
                <w:szCs w:val="20"/>
                <w:lang w:val="en-US" w:eastAsia="ja-JP"/>
              </w:rPr>
              <w:t>ee Forecast Returns and Sensitivity section below for indicative breakage costs under the base-case scenario.</w:t>
            </w:r>
          </w:p>
        </w:tc>
        <w:tc>
          <w:tcPr>
            <w:tcW w:w="4819" w:type="dxa"/>
          </w:tcPr>
          <w:p w14:paraId="28502011" w14:textId="77777777" w:rsidR="001A31B0" w:rsidRPr="0047136A" w:rsidRDefault="001A31B0">
            <w:pPr>
              <w:spacing w:before="40" w:after="40"/>
              <w:rPr>
                <w:rFonts w:cs="Arial"/>
                <w:sz w:val="20"/>
                <w:szCs w:val="20"/>
                <w:lang w:eastAsia="ja-JP"/>
              </w:rPr>
            </w:pPr>
            <w:r w:rsidRPr="0047136A">
              <w:rPr>
                <w:rFonts w:cs="Arial"/>
                <w:sz w:val="20"/>
                <w:szCs w:val="20"/>
                <w:lang w:eastAsia="ja-JP"/>
              </w:rPr>
              <w:t xml:space="preserve">Breakage fee cost methodology: </w:t>
            </w:r>
          </w:p>
          <w:p w14:paraId="06C78DA2" w14:textId="78143946" w:rsidR="001A31B0" w:rsidRPr="004B2B55" w:rsidRDefault="001A31B0" w:rsidP="00FA3DFE">
            <w:pPr>
              <w:spacing w:before="40" w:after="40"/>
              <w:rPr>
                <w:rFonts w:cs="Arial"/>
                <w:sz w:val="20"/>
                <w:szCs w:val="20"/>
                <w:highlight w:val="yellow"/>
              </w:rPr>
            </w:pPr>
            <w:r w:rsidRPr="0047136A">
              <w:rPr>
                <w:rFonts w:cs="Arial" w:hint="eastAsia"/>
                <w:sz w:val="20"/>
                <w:szCs w:val="20"/>
                <w:lang w:eastAsia="ja-JP"/>
              </w:rPr>
              <w:t>→</w:t>
            </w:r>
            <w:r w:rsidRPr="0047136A">
              <w:rPr>
                <w:rFonts w:cs="Arial" w:hint="eastAsia"/>
                <w:sz w:val="20"/>
                <w:szCs w:val="20"/>
                <w:lang w:eastAsia="ja-JP"/>
              </w:rPr>
              <w:t xml:space="preserve"> BFC= Loan Amount </w:t>
            </w:r>
            <w:r>
              <w:rPr>
                <w:rFonts w:cs="Arial" w:hint="eastAsia"/>
                <w:sz w:val="20"/>
                <w:szCs w:val="20"/>
                <w:lang w:eastAsia="ja-JP"/>
              </w:rPr>
              <w:t>x</w:t>
            </w:r>
            <w:r w:rsidRPr="0047136A">
              <w:rPr>
                <w:rFonts w:cs="Arial" w:hint="eastAsia"/>
                <w:sz w:val="20"/>
                <w:szCs w:val="20"/>
                <w:lang w:eastAsia="ja-JP"/>
              </w:rPr>
              <w:t xml:space="preserve"> (Base Rate </w:t>
            </w:r>
            <w:r>
              <w:rPr>
                <w:rFonts w:cs="Arial" w:hint="eastAsia"/>
                <w:sz w:val="20"/>
                <w:szCs w:val="20"/>
                <w:lang w:eastAsia="ja-JP"/>
              </w:rPr>
              <w:t>-</w:t>
            </w:r>
            <w:r w:rsidRPr="0047136A">
              <w:rPr>
                <w:rFonts w:cs="Arial" w:hint="eastAsia"/>
                <w:sz w:val="20"/>
                <w:szCs w:val="20"/>
                <w:lang w:eastAsia="ja-JP"/>
              </w:rPr>
              <w:t xml:space="preserve"> Lender</w:t>
            </w:r>
            <w:r>
              <w:rPr>
                <w:rFonts w:cs="Arial"/>
                <w:sz w:val="20"/>
                <w:szCs w:val="20"/>
                <w:lang w:eastAsia="ja-JP"/>
              </w:rPr>
              <w:t>’</w:t>
            </w:r>
            <w:r w:rsidRPr="0047136A">
              <w:rPr>
                <w:rFonts w:cs="Arial" w:hint="eastAsia"/>
                <w:sz w:val="20"/>
                <w:szCs w:val="20"/>
                <w:lang w:eastAsia="ja-JP"/>
              </w:rPr>
              <w:t xml:space="preserve">s investment yield at prepayment) </w:t>
            </w:r>
            <w:r>
              <w:rPr>
                <w:rFonts w:cs="Arial" w:hint="eastAsia"/>
                <w:sz w:val="20"/>
                <w:szCs w:val="20"/>
                <w:lang w:eastAsia="ja-JP"/>
              </w:rPr>
              <w:t>x</w:t>
            </w:r>
            <w:r w:rsidRPr="0047136A">
              <w:rPr>
                <w:rFonts w:cs="Arial" w:hint="eastAsia"/>
                <w:sz w:val="20"/>
                <w:szCs w:val="20"/>
                <w:lang w:eastAsia="ja-JP"/>
              </w:rPr>
              <w:t xml:space="preserve"> Remaining Period</w:t>
            </w:r>
          </w:p>
        </w:tc>
      </w:tr>
      <w:tr w:rsidR="001A31B0" w:rsidRPr="00ED33CB" w14:paraId="7100CB33" w14:textId="77777777">
        <w:trPr>
          <w:trHeight w:val="124"/>
        </w:trPr>
        <w:tc>
          <w:tcPr>
            <w:tcW w:w="9322" w:type="dxa"/>
            <w:gridSpan w:val="2"/>
          </w:tcPr>
          <w:p w14:paraId="4DAFEC15" w14:textId="77777777" w:rsidR="001A31B0" w:rsidRPr="00402EB0" w:rsidRDefault="001A31B0">
            <w:pPr>
              <w:spacing w:before="40" w:after="40"/>
              <w:rPr>
                <w:rFonts w:cs="Arial"/>
                <w:sz w:val="20"/>
                <w:szCs w:val="20"/>
              </w:rPr>
            </w:pPr>
            <w:r w:rsidRPr="00402EB0">
              <w:rPr>
                <w:rFonts w:cs="Arial"/>
                <w:sz w:val="20"/>
                <w:szCs w:val="20"/>
              </w:rPr>
              <w:t>Interest rate hedge</w:t>
            </w:r>
          </w:p>
        </w:tc>
      </w:tr>
      <w:tr w:rsidR="001A31B0" w:rsidRPr="00ED33CB" w14:paraId="76286F86" w14:textId="77777777">
        <w:trPr>
          <w:trHeight w:val="515"/>
        </w:trPr>
        <w:tc>
          <w:tcPr>
            <w:tcW w:w="4503" w:type="dxa"/>
          </w:tcPr>
          <w:p w14:paraId="4680611B" w14:textId="77777777" w:rsidR="001A31B0" w:rsidRPr="00402EB0" w:rsidRDefault="001A31B0">
            <w:pPr>
              <w:spacing w:before="40" w:after="40"/>
              <w:rPr>
                <w:rFonts w:cs="Arial"/>
                <w:color w:val="FF0000"/>
                <w:sz w:val="20"/>
                <w:szCs w:val="20"/>
              </w:rPr>
            </w:pPr>
            <w:r w:rsidRPr="00402EB0">
              <w:rPr>
                <w:rFonts w:eastAsia="Times New Roman" w:cs="Arial"/>
                <w:sz w:val="20"/>
                <w:szCs w:val="20"/>
                <w:lang w:val="en-US" w:eastAsia="ja-JP"/>
              </w:rPr>
              <w:t>N/A</w:t>
            </w:r>
          </w:p>
        </w:tc>
        <w:tc>
          <w:tcPr>
            <w:tcW w:w="4819" w:type="dxa"/>
          </w:tcPr>
          <w:p w14:paraId="461A3322" w14:textId="77777777" w:rsidR="001A31B0" w:rsidRPr="00402EB0" w:rsidRDefault="001A31B0">
            <w:pPr>
              <w:spacing w:before="40" w:after="40"/>
              <w:rPr>
                <w:rFonts w:cs="Arial"/>
                <w:sz w:val="20"/>
                <w:szCs w:val="20"/>
              </w:rPr>
            </w:pPr>
            <w:r w:rsidRPr="00402EB0">
              <w:rPr>
                <w:rFonts w:cs="Arial"/>
                <w:sz w:val="20"/>
                <w:szCs w:val="20"/>
              </w:rPr>
              <w:t>Fixed rate debt</w:t>
            </w:r>
          </w:p>
        </w:tc>
      </w:tr>
      <w:tr w:rsidR="001A31B0" w:rsidRPr="00ED33CB" w14:paraId="4C288587" w14:textId="77777777">
        <w:trPr>
          <w:trHeight w:val="169"/>
        </w:trPr>
        <w:tc>
          <w:tcPr>
            <w:tcW w:w="9322" w:type="dxa"/>
            <w:gridSpan w:val="2"/>
          </w:tcPr>
          <w:p w14:paraId="084B4F29" w14:textId="77777777" w:rsidR="001A31B0" w:rsidRPr="00402EB0" w:rsidRDefault="001A31B0">
            <w:pPr>
              <w:spacing w:before="40" w:after="40"/>
              <w:rPr>
                <w:rFonts w:cs="Arial"/>
                <w:sz w:val="20"/>
                <w:szCs w:val="20"/>
              </w:rPr>
            </w:pPr>
            <w:r w:rsidRPr="00402EB0">
              <w:rPr>
                <w:rFonts w:cs="Arial"/>
                <w:sz w:val="20"/>
                <w:szCs w:val="20"/>
              </w:rPr>
              <w:t>Currency hedge</w:t>
            </w:r>
          </w:p>
        </w:tc>
      </w:tr>
      <w:tr w:rsidR="001A31B0" w:rsidRPr="00ED33CB" w14:paraId="51E6BCA4" w14:textId="77777777">
        <w:trPr>
          <w:trHeight w:val="1176"/>
        </w:trPr>
        <w:tc>
          <w:tcPr>
            <w:tcW w:w="4503" w:type="dxa"/>
          </w:tcPr>
          <w:p w14:paraId="49975745" w14:textId="77777777" w:rsidR="001A31B0" w:rsidRPr="00402EB0" w:rsidRDefault="001A31B0">
            <w:pPr>
              <w:spacing w:before="40" w:after="40"/>
              <w:rPr>
                <w:rFonts w:cs="Arial"/>
                <w:color w:val="FF0000"/>
                <w:sz w:val="20"/>
                <w:szCs w:val="20"/>
              </w:rPr>
            </w:pPr>
            <w:r w:rsidRPr="0089670C">
              <w:rPr>
                <w:rFonts w:cs="Arial"/>
                <w:sz w:val="20"/>
                <w:szCs w:val="20"/>
              </w:rPr>
              <w:t xml:space="preserve">EUR and USD equity to be fully hedged against JPY using FX forwards. Benefit of hedging prudently assumed to be 0% per annum in underwriting. </w:t>
            </w:r>
          </w:p>
        </w:tc>
        <w:tc>
          <w:tcPr>
            <w:tcW w:w="4819" w:type="dxa"/>
          </w:tcPr>
          <w:p w14:paraId="4DFBD9FE" w14:textId="77777777" w:rsidR="001A31B0" w:rsidRPr="00402EB0" w:rsidRDefault="001A31B0">
            <w:pPr>
              <w:spacing w:before="40" w:after="40"/>
              <w:ind w:left="142"/>
              <w:rPr>
                <w:rFonts w:cs="Arial"/>
                <w:sz w:val="20"/>
                <w:szCs w:val="20"/>
              </w:rPr>
            </w:pPr>
            <w:r w:rsidRPr="0089670C">
              <w:rPr>
                <w:rFonts w:cs="Arial"/>
                <w:sz w:val="20"/>
                <w:szCs w:val="20"/>
              </w:rPr>
              <w:t>FX hedging quotes from SEB to be benchmarked using Bloomberg and BARX trading platform.</w:t>
            </w:r>
          </w:p>
        </w:tc>
      </w:tr>
    </w:tbl>
    <w:p w14:paraId="4282AB38" w14:textId="77777777" w:rsidR="00B2263B" w:rsidRPr="000346B8" w:rsidRDefault="00B2263B" w:rsidP="0066693B">
      <w:pPr>
        <w:rPr>
          <w:b/>
        </w:rPr>
      </w:pPr>
    </w:p>
    <w:p w14:paraId="38BE3E96" w14:textId="40CE5209" w:rsidR="00E459EA" w:rsidRDefault="00E459EA">
      <w:pPr>
        <w:spacing w:after="200" w:line="276" w:lineRule="auto"/>
        <w:rPr>
          <w:rFonts w:cs="Arial"/>
          <w:sz w:val="20"/>
          <w:szCs w:val="20"/>
          <w:u w:val="single"/>
          <w:lang w:eastAsia="ja-JP"/>
        </w:rPr>
      </w:pPr>
    </w:p>
    <w:p w14:paraId="386A44F2" w14:textId="5959DE3F" w:rsidR="00534FB9" w:rsidRDefault="00534FB9" w:rsidP="00534FB9">
      <w:pPr>
        <w:keepNext/>
        <w:numPr>
          <w:ilvl w:val="1"/>
          <w:numId w:val="1"/>
        </w:numPr>
        <w:tabs>
          <w:tab w:val="num" w:pos="1276"/>
        </w:tabs>
        <w:spacing w:before="150"/>
        <w:jc w:val="both"/>
        <w:outlineLvl w:val="1"/>
        <w:rPr>
          <w:rFonts w:eastAsia="Times New Roman" w:cs="Times New Roman"/>
          <w:b/>
          <w:color w:val="333333"/>
          <w:sz w:val="20"/>
          <w:szCs w:val="20"/>
        </w:rPr>
      </w:pPr>
      <w:r w:rsidRPr="00534FB9">
        <w:rPr>
          <w:rFonts w:eastAsia="Times New Roman" w:cs="Times New Roman"/>
          <w:b/>
          <w:color w:val="333333"/>
          <w:sz w:val="20"/>
          <w:szCs w:val="20"/>
        </w:rPr>
        <w:t>Confirmation of Forecast Returns and Sensitivity</w:t>
      </w:r>
    </w:p>
    <w:p w14:paraId="67AFFA51" w14:textId="68184EDB" w:rsidR="00BA7715" w:rsidRDefault="00BA7715" w:rsidP="00225178">
      <w:pPr>
        <w:keepNext/>
        <w:tabs>
          <w:tab w:val="num" w:pos="1276"/>
        </w:tabs>
        <w:spacing w:before="150"/>
        <w:jc w:val="both"/>
        <w:outlineLvl w:val="1"/>
        <w:rPr>
          <w:rFonts w:eastAsia="Times New Roman" w:cs="Times New Roman"/>
          <w:b/>
          <w:color w:val="333333"/>
          <w:sz w:val="20"/>
          <w:szCs w:val="20"/>
        </w:rPr>
      </w:pPr>
    </w:p>
    <w:p w14:paraId="1CBEEF7C" w14:textId="79C80C6F" w:rsidR="000D5286" w:rsidRDefault="004C385D" w:rsidP="000D5286">
      <w:pPr>
        <w:spacing w:before="40" w:after="4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The change in</w:t>
      </w:r>
      <w:r w:rsidR="000D5286">
        <w:rPr>
          <w:rFonts w:cs="Arial"/>
          <w:sz w:val="20"/>
          <w:szCs w:val="20"/>
        </w:rPr>
        <w:t xml:space="preserve"> forecasted returns</w:t>
      </w:r>
      <w:r>
        <w:rPr>
          <w:rFonts w:cs="Arial"/>
          <w:sz w:val="20"/>
          <w:szCs w:val="20"/>
        </w:rPr>
        <w:t xml:space="preserve"> relating to the amended debt assumptions are outlined below</w:t>
      </w:r>
      <w:r w:rsidR="000D5286">
        <w:rPr>
          <w:rFonts w:cs="Arial"/>
          <w:sz w:val="20"/>
          <w:szCs w:val="20"/>
        </w:rPr>
        <w:t xml:space="preserve">. </w:t>
      </w:r>
    </w:p>
    <w:p w14:paraId="755F4045" w14:textId="77777777" w:rsidR="000D5286" w:rsidRDefault="000D5286" w:rsidP="000D5286">
      <w:pPr>
        <w:spacing w:before="40" w:after="40"/>
        <w:rPr>
          <w:rFonts w:cs="Arial"/>
          <w:sz w:val="20"/>
          <w:szCs w:val="20"/>
        </w:rPr>
      </w:pPr>
    </w:p>
    <w:p w14:paraId="28C30B9C" w14:textId="77777777" w:rsidR="00C5190E" w:rsidRDefault="00C5190E" w:rsidP="00C5190E">
      <w:pPr>
        <w:rPr>
          <w:rFonts w:cs="Arial"/>
          <w:b/>
          <w:bCs/>
          <w:sz w:val="20"/>
          <w:szCs w:val="20"/>
        </w:rPr>
      </w:pPr>
      <w:r>
        <w:rPr>
          <w:rFonts w:cs="Arial"/>
          <w:b/>
          <w:bCs/>
          <w:sz w:val="20"/>
          <w:szCs w:val="20"/>
        </w:rPr>
        <w:t>Impact on returns:</w:t>
      </w:r>
    </w:p>
    <w:p w14:paraId="5DA124D4" w14:textId="77777777" w:rsidR="00C5190E" w:rsidRDefault="00C5190E" w:rsidP="00C5190E">
      <w:pPr>
        <w:rPr>
          <w:rFonts w:cs="Arial"/>
          <w:b/>
          <w:bCs/>
          <w:sz w:val="20"/>
          <w:szCs w:val="20"/>
        </w:rPr>
      </w:pPr>
    </w:p>
    <w:tbl>
      <w:tblPr>
        <w:tblW w:w="9367" w:type="dxa"/>
        <w:tblBorders>
          <w:top w:val="single" w:sz="4" w:space="0" w:color="808080"/>
          <w:bottom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123"/>
        <w:gridCol w:w="2057"/>
        <w:gridCol w:w="2057"/>
        <w:gridCol w:w="3117"/>
        <w:gridCol w:w="13"/>
      </w:tblGrid>
      <w:tr w:rsidR="004C2A31" w:rsidRPr="00ED33CB" w14:paraId="25E84AF5" w14:textId="77777777" w:rsidTr="004C2A31">
        <w:trPr>
          <w:gridAfter w:val="1"/>
          <w:wAfter w:w="13" w:type="dxa"/>
          <w:trHeight w:val="252"/>
        </w:trPr>
        <w:tc>
          <w:tcPr>
            <w:tcW w:w="2123" w:type="dxa"/>
            <w:shd w:val="clear" w:color="auto" w:fill="021D49"/>
          </w:tcPr>
          <w:p w14:paraId="44CE91EF" w14:textId="77777777" w:rsidR="004C2A31" w:rsidRPr="003423F7" w:rsidRDefault="004C2A31">
            <w:pPr>
              <w:spacing w:before="40" w:after="40"/>
              <w:ind w:left="142"/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057" w:type="dxa"/>
            <w:shd w:val="clear" w:color="auto" w:fill="021D49"/>
            <w:vAlign w:val="center"/>
          </w:tcPr>
          <w:p w14:paraId="5088ADFF" w14:textId="77777777" w:rsidR="004C2A31" w:rsidRDefault="004C2A31">
            <w:pPr>
              <w:spacing w:before="40" w:after="40"/>
              <w:ind w:left="142"/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  <w:t>STAGE 2</w:t>
            </w:r>
          </w:p>
          <w:p w14:paraId="43C14B9A" w14:textId="6C99F9A4" w:rsidR="004C2A31" w:rsidRPr="003423F7" w:rsidRDefault="004C2A31">
            <w:pPr>
              <w:spacing w:before="40" w:after="40"/>
              <w:ind w:left="142"/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  <w:t>FORECAST</w:t>
            </w:r>
          </w:p>
        </w:tc>
        <w:tc>
          <w:tcPr>
            <w:tcW w:w="2057" w:type="dxa"/>
            <w:shd w:val="clear" w:color="auto" w:fill="021D49"/>
          </w:tcPr>
          <w:p w14:paraId="7D72B84D" w14:textId="6023AF8E" w:rsidR="004C2A31" w:rsidRPr="003423F7" w:rsidRDefault="004C2A31">
            <w:pPr>
              <w:spacing w:before="40" w:after="40"/>
              <w:ind w:left="142"/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</w:pPr>
            <w:r w:rsidRPr="003423F7"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  <w:t>FINAL FORECAST</w:t>
            </w:r>
          </w:p>
        </w:tc>
        <w:tc>
          <w:tcPr>
            <w:tcW w:w="3117" w:type="dxa"/>
            <w:shd w:val="clear" w:color="auto" w:fill="021D49"/>
            <w:vAlign w:val="center"/>
          </w:tcPr>
          <w:p w14:paraId="697E1B40" w14:textId="7E5E29B3" w:rsidR="004C2A31" w:rsidRPr="003423F7" w:rsidRDefault="004C2A31">
            <w:pPr>
              <w:spacing w:before="40" w:after="40"/>
              <w:ind w:left="142"/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</w:pPr>
            <w:r w:rsidRPr="003423F7"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  <w:t>COMMENT</w:t>
            </w:r>
          </w:p>
        </w:tc>
      </w:tr>
      <w:tr w:rsidR="004C2A31" w:rsidRPr="00ED33CB" w14:paraId="7C33DEFA" w14:textId="77777777">
        <w:trPr>
          <w:gridAfter w:val="1"/>
          <w:wAfter w:w="13" w:type="dxa"/>
          <w:trHeight w:val="505"/>
        </w:trPr>
        <w:tc>
          <w:tcPr>
            <w:tcW w:w="2123" w:type="dxa"/>
            <w:vAlign w:val="center"/>
          </w:tcPr>
          <w:p w14:paraId="5B905146" w14:textId="77777777" w:rsidR="004C2A31" w:rsidRPr="00ED33CB" w:rsidRDefault="004C2A31" w:rsidP="004C2A31">
            <w:pPr>
              <w:rPr>
                <w:rFonts w:cs="Arial"/>
                <w:sz w:val="20"/>
                <w:szCs w:val="20"/>
              </w:rPr>
            </w:pPr>
            <w:r w:rsidRPr="00ED33CB">
              <w:rPr>
                <w:rFonts w:cs="Arial"/>
                <w:sz w:val="20"/>
                <w:szCs w:val="20"/>
              </w:rPr>
              <w:t>Hold Period</w:t>
            </w:r>
          </w:p>
        </w:tc>
        <w:tc>
          <w:tcPr>
            <w:tcW w:w="2057" w:type="dxa"/>
            <w:vAlign w:val="center"/>
          </w:tcPr>
          <w:p w14:paraId="4A8AD414" w14:textId="77777777" w:rsidR="004C2A31" w:rsidRPr="00BE204B" w:rsidRDefault="004C2A31" w:rsidP="004C2A31">
            <w:pPr>
              <w:ind w:left="142"/>
              <w:rPr>
                <w:rFonts w:cs="Arial"/>
                <w:sz w:val="20"/>
                <w:szCs w:val="20"/>
              </w:rPr>
            </w:pPr>
            <w:r w:rsidRPr="00BE204B">
              <w:rPr>
                <w:rFonts w:cs="Arial"/>
                <w:sz w:val="20"/>
                <w:szCs w:val="20"/>
              </w:rPr>
              <w:t>48 months</w:t>
            </w:r>
          </w:p>
        </w:tc>
        <w:tc>
          <w:tcPr>
            <w:tcW w:w="2057" w:type="dxa"/>
            <w:vAlign w:val="center"/>
          </w:tcPr>
          <w:p w14:paraId="10362C2B" w14:textId="59ED50B0" w:rsidR="004C2A31" w:rsidRDefault="00A919B0" w:rsidP="004C2A31">
            <w:pPr>
              <w:ind w:left="142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42</w:t>
            </w:r>
            <w:r w:rsidR="004C2A31" w:rsidRPr="00BE204B">
              <w:rPr>
                <w:rFonts w:cs="Arial"/>
                <w:sz w:val="20"/>
                <w:szCs w:val="20"/>
              </w:rPr>
              <w:t xml:space="preserve"> months</w:t>
            </w:r>
          </w:p>
        </w:tc>
        <w:tc>
          <w:tcPr>
            <w:tcW w:w="3117" w:type="dxa"/>
            <w:vAlign w:val="center"/>
          </w:tcPr>
          <w:p w14:paraId="4AF6E173" w14:textId="351560FA" w:rsidR="004C2A31" w:rsidRPr="00ED33CB" w:rsidRDefault="004C2A31" w:rsidP="004C2A31">
            <w:pPr>
              <w:ind w:left="142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Base-case assumption</w:t>
            </w:r>
          </w:p>
        </w:tc>
      </w:tr>
      <w:tr w:rsidR="004C2A31" w:rsidRPr="00ED33CB" w14:paraId="1A65FABC" w14:textId="77777777">
        <w:trPr>
          <w:trHeight w:val="798"/>
        </w:trPr>
        <w:tc>
          <w:tcPr>
            <w:tcW w:w="2123" w:type="dxa"/>
            <w:vAlign w:val="center"/>
          </w:tcPr>
          <w:p w14:paraId="6CFE13BB" w14:textId="77777777" w:rsidR="004C2A31" w:rsidRDefault="004C2A31" w:rsidP="004C2A31">
            <w:p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Leverage</w:t>
            </w:r>
          </w:p>
        </w:tc>
        <w:tc>
          <w:tcPr>
            <w:tcW w:w="2057" w:type="dxa"/>
            <w:vAlign w:val="center"/>
          </w:tcPr>
          <w:p w14:paraId="6A47D0F6" w14:textId="344BD7A5" w:rsidR="004C2A31" w:rsidRPr="00E64EA5" w:rsidRDefault="004C2A31" w:rsidP="004C2A31">
            <w:pPr>
              <w:ind w:left="142"/>
              <w:rPr>
                <w:rFonts w:cs="Arial"/>
                <w:sz w:val="20"/>
                <w:szCs w:val="20"/>
              </w:rPr>
            </w:pPr>
            <w:r w:rsidRPr="00E64EA5">
              <w:rPr>
                <w:rFonts w:cs="Arial"/>
                <w:sz w:val="20"/>
                <w:szCs w:val="20"/>
              </w:rPr>
              <w:t>JPY</w:t>
            </w:r>
            <w:r w:rsidR="0008352B">
              <w:rPr>
                <w:rFonts w:cs="Arial"/>
                <w:sz w:val="20"/>
                <w:szCs w:val="20"/>
              </w:rPr>
              <w:t xml:space="preserve"> </w:t>
            </w:r>
            <w:r w:rsidRPr="00E64EA5">
              <w:rPr>
                <w:rFonts w:cs="Arial"/>
                <w:sz w:val="20"/>
                <w:szCs w:val="20"/>
              </w:rPr>
              <w:t>2,158mm</w:t>
            </w:r>
          </w:p>
          <w:p w14:paraId="60285A16" w14:textId="77777777" w:rsidR="004C2A31" w:rsidRPr="007A4C2A" w:rsidRDefault="004C2A31" w:rsidP="004C2A31">
            <w:pPr>
              <w:ind w:left="142"/>
              <w:rPr>
                <w:rFonts w:cs="Arial"/>
                <w:sz w:val="20"/>
                <w:szCs w:val="20"/>
              </w:rPr>
            </w:pPr>
            <w:r w:rsidRPr="007A4C2A">
              <w:rPr>
                <w:rFonts w:cs="Arial"/>
                <w:sz w:val="20"/>
                <w:szCs w:val="20"/>
              </w:rPr>
              <w:t>65.0% LTP</w:t>
            </w:r>
          </w:p>
          <w:p w14:paraId="0714ED57" w14:textId="77777777" w:rsidR="004C2A31" w:rsidRPr="00E64EA5" w:rsidRDefault="004C2A31" w:rsidP="004C2A31">
            <w:pPr>
              <w:ind w:left="142"/>
              <w:rPr>
                <w:rFonts w:cs="Arial"/>
                <w:sz w:val="20"/>
                <w:szCs w:val="20"/>
              </w:rPr>
            </w:pPr>
            <w:r w:rsidRPr="007A4C2A">
              <w:rPr>
                <w:rFonts w:cs="Arial"/>
                <w:sz w:val="20"/>
                <w:szCs w:val="20"/>
              </w:rPr>
              <w:t>56.8% LTV</w:t>
            </w:r>
          </w:p>
        </w:tc>
        <w:tc>
          <w:tcPr>
            <w:tcW w:w="2057" w:type="dxa"/>
            <w:vAlign w:val="center"/>
          </w:tcPr>
          <w:p w14:paraId="6FE428E7" w14:textId="5C9C9395" w:rsidR="004C2A31" w:rsidRPr="00E64EA5" w:rsidRDefault="004C2A31" w:rsidP="004C2A31">
            <w:pPr>
              <w:ind w:left="142"/>
              <w:rPr>
                <w:rFonts w:cs="Arial"/>
                <w:sz w:val="20"/>
                <w:szCs w:val="20"/>
              </w:rPr>
            </w:pPr>
            <w:r w:rsidRPr="00E64EA5">
              <w:rPr>
                <w:rFonts w:cs="Arial"/>
                <w:sz w:val="20"/>
                <w:szCs w:val="20"/>
              </w:rPr>
              <w:t>JPY</w:t>
            </w:r>
            <w:r w:rsidR="0008352B">
              <w:rPr>
                <w:rFonts w:cs="Arial"/>
                <w:sz w:val="20"/>
                <w:szCs w:val="20"/>
              </w:rPr>
              <w:t xml:space="preserve"> </w:t>
            </w:r>
            <w:r w:rsidRPr="00E64EA5">
              <w:rPr>
                <w:rFonts w:cs="Arial"/>
                <w:sz w:val="20"/>
                <w:szCs w:val="20"/>
              </w:rPr>
              <w:t>2,</w:t>
            </w:r>
            <w:r>
              <w:rPr>
                <w:rFonts w:cs="Arial"/>
                <w:sz w:val="20"/>
                <w:szCs w:val="20"/>
              </w:rPr>
              <w:t>030</w:t>
            </w:r>
            <w:r w:rsidRPr="00E64EA5">
              <w:rPr>
                <w:rFonts w:cs="Arial"/>
                <w:sz w:val="20"/>
                <w:szCs w:val="20"/>
              </w:rPr>
              <w:t>mm</w:t>
            </w:r>
          </w:p>
          <w:p w14:paraId="54E3B520" w14:textId="51831C03" w:rsidR="004C2A31" w:rsidRDefault="004C2A31" w:rsidP="004C2A31">
            <w:pPr>
              <w:ind w:left="135"/>
              <w:textAlignment w:val="baseline"/>
              <w:rPr>
                <w:rFonts w:eastAsia="Times New Roman" w:cs="Arial"/>
                <w:sz w:val="20"/>
                <w:szCs w:val="20"/>
                <w:lang w:eastAsia="ja-JP"/>
              </w:rPr>
            </w:pPr>
            <w:r w:rsidRPr="004C2A31">
              <w:rPr>
                <w:rFonts w:cs="Arial"/>
                <w:sz w:val="20"/>
                <w:szCs w:val="20"/>
                <w:lang w:eastAsia="ja-JP"/>
              </w:rPr>
              <w:t>61.1% LTP / 53.4% LTV</w:t>
            </w:r>
          </w:p>
        </w:tc>
        <w:tc>
          <w:tcPr>
            <w:tcW w:w="3130" w:type="dxa"/>
            <w:gridSpan w:val="2"/>
            <w:vAlign w:val="center"/>
          </w:tcPr>
          <w:p w14:paraId="48E1D2EF" w14:textId="3C8940C1" w:rsidR="004C2A31" w:rsidRPr="00583A0F" w:rsidRDefault="004C2A31" w:rsidP="004C2A31">
            <w:pPr>
              <w:ind w:left="13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ja-JP"/>
              </w:rPr>
            </w:pPr>
            <w:r>
              <w:rPr>
                <w:rFonts w:eastAsia="Times New Roman" w:cs="Arial"/>
                <w:sz w:val="20"/>
                <w:szCs w:val="20"/>
                <w:lang w:eastAsia="ja-JP"/>
              </w:rPr>
              <w:t xml:space="preserve">Total; </w:t>
            </w:r>
            <w:r w:rsidRPr="003166E2">
              <w:rPr>
                <w:rFonts w:eastAsia="Times New Roman" w:cs="Arial"/>
                <w:sz w:val="20"/>
                <w:szCs w:val="20"/>
                <w:lang w:eastAsia="ja-JP"/>
              </w:rPr>
              <w:t xml:space="preserve">Debt from </w:t>
            </w:r>
            <w:proofErr w:type="spellStart"/>
            <w:r w:rsidRPr="003166E2">
              <w:rPr>
                <w:rFonts w:eastAsia="Times New Roman" w:cs="Arial"/>
                <w:sz w:val="20"/>
                <w:szCs w:val="20"/>
                <w:lang w:eastAsia="ja-JP"/>
              </w:rPr>
              <w:t>Aozora</w:t>
            </w:r>
            <w:proofErr w:type="spellEnd"/>
            <w:r w:rsidRPr="003166E2">
              <w:rPr>
                <w:rFonts w:eastAsia="Times New Roman" w:cs="Arial"/>
                <w:sz w:val="20"/>
                <w:szCs w:val="20"/>
                <w:lang w:eastAsia="ja-JP"/>
              </w:rPr>
              <w:t>; valuation from JLL</w:t>
            </w:r>
          </w:p>
        </w:tc>
      </w:tr>
      <w:tr w:rsidR="004C2A31" w:rsidRPr="00ED33CB" w14:paraId="26259861" w14:textId="77777777">
        <w:trPr>
          <w:trHeight w:val="700"/>
        </w:trPr>
        <w:tc>
          <w:tcPr>
            <w:tcW w:w="2123" w:type="dxa"/>
            <w:vAlign w:val="center"/>
          </w:tcPr>
          <w:p w14:paraId="5550C4F4" w14:textId="77777777" w:rsidR="004C2A31" w:rsidRDefault="004C2A31" w:rsidP="004C2A31">
            <w:p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Equity Funding</w:t>
            </w:r>
          </w:p>
        </w:tc>
        <w:tc>
          <w:tcPr>
            <w:tcW w:w="2057" w:type="dxa"/>
            <w:vAlign w:val="center"/>
          </w:tcPr>
          <w:p w14:paraId="16A0A97F" w14:textId="77777777" w:rsidR="004C2A31" w:rsidRPr="007A4C2A" w:rsidRDefault="004C2A31" w:rsidP="004C2A31">
            <w:pPr>
              <w:ind w:left="142"/>
              <w:rPr>
                <w:rFonts w:cs="Arial"/>
                <w:sz w:val="20"/>
                <w:szCs w:val="20"/>
                <w:highlight w:val="yellow"/>
              </w:rPr>
            </w:pPr>
            <w:r w:rsidRPr="005223CE">
              <w:rPr>
                <w:rFonts w:cs="Arial"/>
                <w:sz w:val="20"/>
                <w:szCs w:val="20"/>
              </w:rPr>
              <w:t>JPY1,26</w:t>
            </w:r>
            <w:r w:rsidRPr="007A4C2A">
              <w:rPr>
                <w:rFonts w:cs="Arial"/>
                <w:sz w:val="20"/>
                <w:szCs w:val="20"/>
              </w:rPr>
              <w:t>4</w:t>
            </w:r>
            <w:r w:rsidRPr="005223CE">
              <w:rPr>
                <w:rFonts w:cs="Arial"/>
                <w:sz w:val="20"/>
                <w:szCs w:val="20"/>
              </w:rPr>
              <w:t>mm</w:t>
            </w:r>
          </w:p>
        </w:tc>
        <w:tc>
          <w:tcPr>
            <w:tcW w:w="2057" w:type="dxa"/>
            <w:vAlign w:val="center"/>
          </w:tcPr>
          <w:p w14:paraId="5E138D87" w14:textId="28C74ACC" w:rsidR="004C2A31" w:rsidRDefault="004C2A31" w:rsidP="004C2A31">
            <w:pPr>
              <w:ind w:left="142"/>
              <w:rPr>
                <w:rFonts w:cs="Arial"/>
                <w:sz w:val="20"/>
                <w:szCs w:val="20"/>
              </w:rPr>
            </w:pPr>
            <w:r w:rsidRPr="005223CE">
              <w:rPr>
                <w:rFonts w:cs="Arial"/>
                <w:sz w:val="20"/>
                <w:szCs w:val="20"/>
              </w:rPr>
              <w:t>JPY1,</w:t>
            </w:r>
            <w:r>
              <w:rPr>
                <w:rFonts w:cs="Arial"/>
                <w:sz w:val="20"/>
                <w:szCs w:val="20"/>
              </w:rPr>
              <w:t>379</w:t>
            </w:r>
            <w:r w:rsidRPr="005223CE">
              <w:rPr>
                <w:rFonts w:cs="Arial"/>
                <w:sz w:val="20"/>
                <w:szCs w:val="20"/>
              </w:rPr>
              <w:t>mm</w:t>
            </w:r>
          </w:p>
        </w:tc>
        <w:tc>
          <w:tcPr>
            <w:tcW w:w="3130" w:type="dxa"/>
            <w:gridSpan w:val="2"/>
            <w:vAlign w:val="center"/>
          </w:tcPr>
          <w:p w14:paraId="2C933359" w14:textId="3EA86ABC" w:rsidR="004C2A31" w:rsidRPr="00903C41" w:rsidRDefault="004C2A31" w:rsidP="004C2A31">
            <w:pPr>
              <w:ind w:left="142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Total</w:t>
            </w:r>
          </w:p>
        </w:tc>
      </w:tr>
      <w:tr w:rsidR="004C2A31" w:rsidRPr="00ED33CB" w14:paraId="50856E31" w14:textId="77777777" w:rsidTr="0008352B">
        <w:trPr>
          <w:trHeight w:val="505"/>
        </w:trPr>
        <w:tc>
          <w:tcPr>
            <w:tcW w:w="2123" w:type="dxa"/>
            <w:vAlign w:val="center"/>
          </w:tcPr>
          <w:p w14:paraId="0B5379D0" w14:textId="77777777" w:rsidR="004C2A31" w:rsidRDefault="004C2A31" w:rsidP="004C2A31">
            <w:p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Asset</w:t>
            </w:r>
            <w:r w:rsidRPr="00FE35AC">
              <w:rPr>
                <w:rFonts w:cs="Arial"/>
                <w:sz w:val="20"/>
                <w:szCs w:val="20"/>
              </w:rPr>
              <w:t xml:space="preserve"> level</w:t>
            </w:r>
            <w:r w:rsidRPr="00FE35AC">
              <w:rPr>
                <w:rFonts w:cs="Arial" w:hint="eastAsia"/>
                <w:sz w:val="20"/>
                <w:szCs w:val="20"/>
              </w:rPr>
              <w:t xml:space="preserve">　</w:t>
            </w:r>
          </w:p>
          <w:p w14:paraId="1C74D95C" w14:textId="77777777" w:rsidR="004C2A31" w:rsidRPr="00ED33CB" w:rsidRDefault="004C2A31" w:rsidP="004C2A31">
            <w:pPr>
              <w:rPr>
                <w:rFonts w:cs="Arial"/>
                <w:sz w:val="20"/>
                <w:szCs w:val="20"/>
              </w:rPr>
            </w:pPr>
            <w:r w:rsidRPr="00FE35AC">
              <w:rPr>
                <w:rFonts w:cs="Arial"/>
                <w:sz w:val="20"/>
                <w:szCs w:val="20"/>
              </w:rPr>
              <w:t>Hold period total return</w:t>
            </w:r>
          </w:p>
        </w:tc>
        <w:tc>
          <w:tcPr>
            <w:tcW w:w="2057" w:type="dxa"/>
            <w:vAlign w:val="center"/>
          </w:tcPr>
          <w:p w14:paraId="49C36C1F" w14:textId="77777777" w:rsidR="004C2A31" w:rsidRPr="00BE204B" w:rsidRDefault="004C2A31" w:rsidP="004C2A31">
            <w:pPr>
              <w:ind w:left="142"/>
              <w:rPr>
                <w:rFonts w:cs="Arial"/>
                <w:sz w:val="20"/>
                <w:szCs w:val="20"/>
              </w:rPr>
            </w:pPr>
            <w:r w:rsidRPr="00E200AC">
              <w:rPr>
                <w:rFonts w:cs="Arial"/>
                <w:sz w:val="20"/>
                <w:szCs w:val="20"/>
              </w:rPr>
              <w:t>16.92%</w:t>
            </w:r>
          </w:p>
        </w:tc>
        <w:tc>
          <w:tcPr>
            <w:tcW w:w="2057" w:type="dxa"/>
            <w:vAlign w:val="center"/>
          </w:tcPr>
          <w:p w14:paraId="63970F7B" w14:textId="55F8DCDA" w:rsidR="004C2A31" w:rsidRPr="00E200AC" w:rsidRDefault="0008352B" w:rsidP="004C2A31">
            <w:pPr>
              <w:ind w:left="142"/>
              <w:rPr>
                <w:rFonts w:cs="Arial"/>
                <w:sz w:val="20"/>
                <w:szCs w:val="20"/>
              </w:rPr>
            </w:pPr>
            <w:r w:rsidRPr="00E200AC">
              <w:rPr>
                <w:rFonts w:cs="Arial"/>
                <w:sz w:val="20"/>
                <w:szCs w:val="20"/>
              </w:rPr>
              <w:t>1</w:t>
            </w:r>
            <w:r w:rsidR="006D454F" w:rsidRPr="00E200AC">
              <w:rPr>
                <w:rFonts w:cs="Arial"/>
                <w:sz w:val="20"/>
                <w:szCs w:val="20"/>
              </w:rPr>
              <w:t>5.34</w:t>
            </w:r>
            <w:r w:rsidRPr="00E200AC">
              <w:rPr>
                <w:rFonts w:cs="Arial"/>
                <w:sz w:val="20"/>
                <w:szCs w:val="20"/>
              </w:rPr>
              <w:t>%</w:t>
            </w:r>
          </w:p>
        </w:tc>
        <w:tc>
          <w:tcPr>
            <w:tcW w:w="3130" w:type="dxa"/>
            <w:gridSpan w:val="2"/>
            <w:vAlign w:val="center"/>
          </w:tcPr>
          <w:p w14:paraId="6917C8F6" w14:textId="2F296F14" w:rsidR="004C2A31" w:rsidRPr="00790B3E" w:rsidRDefault="004C2A31" w:rsidP="004C2A31">
            <w:pPr>
              <w:ind w:left="142"/>
              <w:rPr>
                <w:rFonts w:cs="Arial"/>
                <w:sz w:val="20"/>
                <w:szCs w:val="20"/>
              </w:rPr>
            </w:pPr>
            <w:r w:rsidRPr="00903C41">
              <w:rPr>
                <w:rFonts w:cs="Arial"/>
                <w:sz w:val="20"/>
                <w:szCs w:val="20"/>
              </w:rPr>
              <w:t>Net, levered; Inclusive of C-tax recovery</w:t>
            </w:r>
            <w:r>
              <w:rPr>
                <w:rFonts w:cs="Arial"/>
                <w:sz w:val="20"/>
                <w:szCs w:val="20"/>
              </w:rPr>
              <w:t>, before on-shore AM fees</w:t>
            </w:r>
          </w:p>
        </w:tc>
      </w:tr>
      <w:tr w:rsidR="004C2A31" w:rsidRPr="00ED33CB" w14:paraId="15AA4A5D" w14:textId="77777777" w:rsidTr="0008352B">
        <w:trPr>
          <w:gridAfter w:val="1"/>
          <w:wAfter w:w="13" w:type="dxa"/>
          <w:trHeight w:val="554"/>
        </w:trPr>
        <w:tc>
          <w:tcPr>
            <w:tcW w:w="2123" w:type="dxa"/>
            <w:vAlign w:val="center"/>
          </w:tcPr>
          <w:p w14:paraId="29E12C10" w14:textId="77777777" w:rsidR="004C2A31" w:rsidRDefault="004C2A31" w:rsidP="004C2A31">
            <w:p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Fund</w:t>
            </w:r>
            <w:r w:rsidRPr="00FE35AC">
              <w:rPr>
                <w:rFonts w:cs="Arial"/>
                <w:sz w:val="20"/>
                <w:szCs w:val="20"/>
              </w:rPr>
              <w:t xml:space="preserve"> level</w:t>
            </w:r>
            <w:r w:rsidRPr="00FE35AC">
              <w:rPr>
                <w:rFonts w:cs="Arial" w:hint="eastAsia"/>
                <w:sz w:val="20"/>
                <w:szCs w:val="20"/>
              </w:rPr>
              <w:t xml:space="preserve">　</w:t>
            </w:r>
          </w:p>
          <w:p w14:paraId="3E64289F" w14:textId="77777777" w:rsidR="004C2A31" w:rsidRPr="00ED33CB" w:rsidRDefault="004C2A31" w:rsidP="004C2A31">
            <w:pPr>
              <w:rPr>
                <w:rFonts w:cs="Arial"/>
                <w:sz w:val="20"/>
                <w:szCs w:val="20"/>
              </w:rPr>
            </w:pPr>
            <w:r w:rsidRPr="00FE35AC">
              <w:rPr>
                <w:rFonts w:cs="Arial"/>
                <w:sz w:val="20"/>
                <w:szCs w:val="20"/>
              </w:rPr>
              <w:t>Hold period total return</w:t>
            </w:r>
            <w:r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2057" w:type="dxa"/>
            <w:vAlign w:val="center"/>
          </w:tcPr>
          <w:p w14:paraId="23772831" w14:textId="77777777" w:rsidR="004C2A31" w:rsidRPr="00E200AC" w:rsidRDefault="004C2A31" w:rsidP="004C2A31">
            <w:pPr>
              <w:spacing w:before="40" w:after="40"/>
              <w:ind w:left="142"/>
              <w:rPr>
                <w:rFonts w:cs="Arial"/>
                <w:sz w:val="20"/>
                <w:szCs w:val="20"/>
              </w:rPr>
            </w:pPr>
            <w:r w:rsidRPr="00E200AC">
              <w:rPr>
                <w:rFonts w:cs="Arial"/>
                <w:sz w:val="20"/>
                <w:szCs w:val="20"/>
              </w:rPr>
              <w:t>15.85%</w:t>
            </w:r>
          </w:p>
        </w:tc>
        <w:tc>
          <w:tcPr>
            <w:tcW w:w="2057" w:type="dxa"/>
            <w:vAlign w:val="center"/>
          </w:tcPr>
          <w:p w14:paraId="05291AD8" w14:textId="5A5056FA" w:rsidR="004C2A31" w:rsidRPr="00E200AC" w:rsidRDefault="0008352B" w:rsidP="004C2A31">
            <w:pPr>
              <w:spacing w:before="40" w:after="40"/>
              <w:ind w:left="142"/>
              <w:rPr>
                <w:rFonts w:cs="Arial"/>
                <w:sz w:val="20"/>
                <w:szCs w:val="20"/>
              </w:rPr>
            </w:pPr>
            <w:r w:rsidRPr="00E200AC">
              <w:rPr>
                <w:rFonts w:cs="Arial"/>
                <w:sz w:val="20"/>
                <w:szCs w:val="20"/>
              </w:rPr>
              <w:t>14.47%</w:t>
            </w:r>
          </w:p>
        </w:tc>
        <w:tc>
          <w:tcPr>
            <w:tcW w:w="3117" w:type="dxa"/>
            <w:vAlign w:val="center"/>
          </w:tcPr>
          <w:p w14:paraId="2D4D9DC5" w14:textId="3539CAE2" w:rsidR="004C2A31" w:rsidRPr="00903C41" w:rsidRDefault="004C2A31" w:rsidP="004C2A31">
            <w:pPr>
              <w:spacing w:before="40" w:after="40"/>
              <w:ind w:left="142"/>
              <w:rPr>
                <w:rFonts w:cs="Arial"/>
                <w:sz w:val="20"/>
                <w:szCs w:val="20"/>
              </w:rPr>
            </w:pPr>
            <w:r w:rsidRPr="00790B3E">
              <w:rPr>
                <w:rFonts w:cs="Arial"/>
                <w:sz w:val="20"/>
                <w:szCs w:val="20"/>
              </w:rPr>
              <w:t>Net, l</w:t>
            </w:r>
            <w:r w:rsidRPr="00903C41">
              <w:rPr>
                <w:rFonts w:cs="Arial"/>
                <w:sz w:val="20"/>
                <w:szCs w:val="20"/>
              </w:rPr>
              <w:t xml:space="preserve">evered; Inclusive of C-tax recovery </w:t>
            </w:r>
            <w:r>
              <w:rPr>
                <w:rFonts w:cs="Arial"/>
                <w:sz w:val="20"/>
                <w:szCs w:val="20"/>
              </w:rPr>
              <w:t>(pre-promote)</w:t>
            </w:r>
          </w:p>
        </w:tc>
      </w:tr>
      <w:tr w:rsidR="004C2A31" w:rsidRPr="00ED33CB" w14:paraId="074C2FCF" w14:textId="77777777" w:rsidTr="0008352B">
        <w:trPr>
          <w:gridAfter w:val="1"/>
          <w:wAfter w:w="13" w:type="dxa"/>
          <w:trHeight w:val="532"/>
        </w:trPr>
        <w:tc>
          <w:tcPr>
            <w:tcW w:w="2123" w:type="dxa"/>
            <w:vAlign w:val="center"/>
          </w:tcPr>
          <w:p w14:paraId="40F38350" w14:textId="77777777" w:rsidR="004C2A31" w:rsidRDefault="004C2A31" w:rsidP="004C2A31">
            <w:p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Fund </w:t>
            </w:r>
            <w:r w:rsidRPr="00FE35AC">
              <w:rPr>
                <w:rFonts w:cs="Arial"/>
                <w:sz w:val="20"/>
                <w:szCs w:val="20"/>
              </w:rPr>
              <w:t>level</w:t>
            </w:r>
            <w:r w:rsidRPr="00FE35AC">
              <w:rPr>
                <w:rFonts w:cs="Arial" w:hint="eastAsia"/>
                <w:sz w:val="20"/>
                <w:szCs w:val="20"/>
              </w:rPr>
              <w:t xml:space="preserve">　</w:t>
            </w:r>
          </w:p>
          <w:p w14:paraId="5901705F" w14:textId="77777777" w:rsidR="004C2A31" w:rsidRPr="00ED33CB" w:rsidRDefault="004C2A31" w:rsidP="004C2A31">
            <w:pPr>
              <w:spacing w:before="40" w:after="40"/>
              <w:rPr>
                <w:rFonts w:cs="Arial"/>
                <w:sz w:val="20"/>
                <w:szCs w:val="20"/>
              </w:rPr>
            </w:pPr>
            <w:r w:rsidRPr="00FE35AC">
              <w:rPr>
                <w:rFonts w:cs="Arial"/>
                <w:sz w:val="20"/>
                <w:szCs w:val="20"/>
              </w:rPr>
              <w:t xml:space="preserve">Hold period </w:t>
            </w:r>
            <w:r>
              <w:rPr>
                <w:rFonts w:cs="Arial"/>
                <w:sz w:val="20"/>
                <w:szCs w:val="20"/>
              </w:rPr>
              <w:t>equity multiple</w:t>
            </w:r>
          </w:p>
        </w:tc>
        <w:tc>
          <w:tcPr>
            <w:tcW w:w="2057" w:type="dxa"/>
            <w:vAlign w:val="center"/>
          </w:tcPr>
          <w:p w14:paraId="2740E453" w14:textId="77777777" w:rsidR="004C2A31" w:rsidRPr="00BE204B" w:rsidRDefault="004C2A31" w:rsidP="004C2A31">
            <w:pPr>
              <w:spacing w:before="40" w:after="40"/>
              <w:ind w:left="142"/>
              <w:rPr>
                <w:rFonts w:cs="Arial"/>
                <w:sz w:val="20"/>
                <w:szCs w:val="20"/>
              </w:rPr>
            </w:pPr>
            <w:r w:rsidRPr="00E200AC" w:rsidDel="0D919553">
              <w:rPr>
                <w:rFonts w:cs="Arial"/>
                <w:sz w:val="20"/>
                <w:szCs w:val="20"/>
              </w:rPr>
              <w:t>1.</w:t>
            </w:r>
            <w:r w:rsidRPr="00E200AC">
              <w:rPr>
                <w:rFonts w:cs="Arial"/>
                <w:sz w:val="20"/>
                <w:szCs w:val="20"/>
              </w:rPr>
              <w:t>74x</w:t>
            </w:r>
          </w:p>
        </w:tc>
        <w:tc>
          <w:tcPr>
            <w:tcW w:w="2057" w:type="dxa"/>
            <w:vAlign w:val="center"/>
          </w:tcPr>
          <w:p w14:paraId="765CCEC8" w14:textId="4A624EB4" w:rsidR="004C2A31" w:rsidRPr="00E200AC" w:rsidRDefault="0008352B" w:rsidP="004C2A31">
            <w:pPr>
              <w:spacing w:before="40" w:after="40"/>
              <w:ind w:left="142"/>
              <w:rPr>
                <w:rFonts w:cs="Arial"/>
                <w:sz w:val="20"/>
                <w:szCs w:val="20"/>
              </w:rPr>
            </w:pPr>
            <w:r w:rsidRPr="00E200AC">
              <w:rPr>
                <w:rFonts w:cs="Arial"/>
                <w:sz w:val="20"/>
                <w:szCs w:val="20"/>
              </w:rPr>
              <w:t>1.66x</w:t>
            </w:r>
          </w:p>
        </w:tc>
        <w:tc>
          <w:tcPr>
            <w:tcW w:w="3117" w:type="dxa"/>
            <w:vAlign w:val="center"/>
          </w:tcPr>
          <w:p w14:paraId="7F8408A2" w14:textId="14F782AC" w:rsidR="004C2A31" w:rsidRPr="00ED33CB" w:rsidRDefault="004C2A31" w:rsidP="004C2A31">
            <w:pPr>
              <w:spacing w:before="40" w:after="40"/>
              <w:ind w:left="142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Net, l</w:t>
            </w:r>
            <w:r w:rsidRPr="002C1435">
              <w:rPr>
                <w:rFonts w:cs="Arial"/>
                <w:sz w:val="20"/>
                <w:szCs w:val="20"/>
              </w:rPr>
              <w:t>evered</w:t>
            </w:r>
            <w:r>
              <w:rPr>
                <w:rFonts w:cs="Arial"/>
                <w:sz w:val="20"/>
                <w:szCs w:val="20"/>
              </w:rPr>
              <w:t>;</w:t>
            </w:r>
            <w:r w:rsidRPr="002C1435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Inclusive of C-tax recovery (pre-promote)</w:t>
            </w:r>
          </w:p>
        </w:tc>
      </w:tr>
      <w:tr w:rsidR="004C2A31" w:rsidRPr="00ED33CB" w14:paraId="3ACA1519" w14:textId="77777777" w:rsidTr="0008352B">
        <w:trPr>
          <w:trHeight w:val="532"/>
        </w:trPr>
        <w:tc>
          <w:tcPr>
            <w:tcW w:w="2123" w:type="dxa"/>
            <w:vAlign w:val="center"/>
          </w:tcPr>
          <w:p w14:paraId="10D2BC8B" w14:textId="4250091E" w:rsidR="004C2A31" w:rsidRDefault="004C2A31" w:rsidP="004C2A31">
            <w:p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Avg. Fund</w:t>
            </w:r>
            <w:r w:rsidRPr="00FE35AC">
              <w:rPr>
                <w:rFonts w:cs="Arial"/>
                <w:sz w:val="20"/>
                <w:szCs w:val="20"/>
              </w:rPr>
              <w:t xml:space="preserve"> level net levered yield</w:t>
            </w:r>
            <w:r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2057" w:type="dxa"/>
            <w:vAlign w:val="center"/>
          </w:tcPr>
          <w:p w14:paraId="7F97D7A4" w14:textId="77777777" w:rsidR="004C2A31" w:rsidRPr="00BE204B" w:rsidRDefault="004C2A31" w:rsidP="004C2A31">
            <w:pPr>
              <w:spacing w:before="40" w:after="40"/>
              <w:ind w:left="142"/>
              <w:rPr>
                <w:rFonts w:cs="Arial"/>
                <w:sz w:val="20"/>
                <w:szCs w:val="20"/>
              </w:rPr>
            </w:pPr>
            <w:r w:rsidRPr="00E200AC">
              <w:rPr>
                <w:rFonts w:cs="Arial"/>
                <w:sz w:val="20"/>
                <w:szCs w:val="20"/>
              </w:rPr>
              <w:t>6.16%</w:t>
            </w:r>
          </w:p>
        </w:tc>
        <w:tc>
          <w:tcPr>
            <w:tcW w:w="2057" w:type="dxa"/>
            <w:vAlign w:val="center"/>
          </w:tcPr>
          <w:p w14:paraId="7E7C8BE0" w14:textId="69B87F52" w:rsidR="004C2A31" w:rsidRPr="00E200AC" w:rsidRDefault="0008352B" w:rsidP="004C2A31">
            <w:pPr>
              <w:spacing w:before="40" w:after="40"/>
              <w:ind w:left="142"/>
              <w:rPr>
                <w:rFonts w:cs="Arial"/>
                <w:sz w:val="20"/>
                <w:szCs w:val="20"/>
              </w:rPr>
            </w:pPr>
            <w:r w:rsidRPr="00E200AC">
              <w:rPr>
                <w:rFonts w:cs="Arial"/>
                <w:sz w:val="20"/>
                <w:szCs w:val="20"/>
              </w:rPr>
              <w:t>5.36%</w:t>
            </w:r>
          </w:p>
        </w:tc>
        <w:tc>
          <w:tcPr>
            <w:tcW w:w="3130" w:type="dxa"/>
            <w:gridSpan w:val="2"/>
            <w:vAlign w:val="center"/>
          </w:tcPr>
          <w:p w14:paraId="7F38A2CA" w14:textId="6175C7BD" w:rsidR="004C2A31" w:rsidRPr="00EF6857" w:rsidRDefault="004C2A31" w:rsidP="004C2A31">
            <w:pPr>
              <w:spacing w:before="40" w:after="40"/>
              <w:ind w:left="142"/>
              <w:rPr>
                <w:rFonts w:cs="Arial"/>
                <w:sz w:val="20"/>
                <w:szCs w:val="20"/>
              </w:rPr>
            </w:pPr>
            <w:r w:rsidRPr="00903C41">
              <w:rPr>
                <w:rFonts w:cs="Arial"/>
                <w:sz w:val="20"/>
                <w:szCs w:val="20"/>
              </w:rPr>
              <w:t xml:space="preserve">Net, </w:t>
            </w:r>
            <w:proofErr w:type="spellStart"/>
            <w:r w:rsidRPr="00903C41">
              <w:rPr>
                <w:rFonts w:cs="Arial"/>
                <w:sz w:val="20"/>
                <w:szCs w:val="20"/>
              </w:rPr>
              <w:t>post tax</w:t>
            </w:r>
            <w:proofErr w:type="spellEnd"/>
            <w:r w:rsidRPr="00903C41">
              <w:rPr>
                <w:rFonts w:cs="Arial"/>
                <w:sz w:val="20"/>
                <w:szCs w:val="20"/>
              </w:rPr>
              <w:t xml:space="preserve"> and fees</w:t>
            </w:r>
            <w:r>
              <w:rPr>
                <w:rFonts w:cs="Arial"/>
                <w:sz w:val="20"/>
                <w:szCs w:val="20"/>
              </w:rPr>
              <w:t xml:space="preserve"> (pre-promote)</w:t>
            </w:r>
          </w:p>
        </w:tc>
      </w:tr>
      <w:tr w:rsidR="004C2A31" w:rsidRPr="00ED33CB" w14:paraId="2329BA72" w14:textId="77777777" w:rsidTr="0008352B">
        <w:trPr>
          <w:gridAfter w:val="1"/>
          <w:wAfter w:w="13" w:type="dxa"/>
          <w:trHeight w:val="532"/>
        </w:trPr>
        <w:tc>
          <w:tcPr>
            <w:tcW w:w="2123" w:type="dxa"/>
            <w:vAlign w:val="center"/>
          </w:tcPr>
          <w:p w14:paraId="75982157" w14:textId="77777777" w:rsidR="004C2A31" w:rsidRPr="00903C41" w:rsidRDefault="004C2A31" w:rsidP="004C2A31">
            <w:pPr>
              <w:spacing w:before="40" w:after="40"/>
              <w:rPr>
                <w:rFonts w:cs="Arial"/>
                <w:sz w:val="20"/>
                <w:szCs w:val="20"/>
              </w:rPr>
            </w:pPr>
            <w:r w:rsidRPr="00790B3E">
              <w:rPr>
                <w:rFonts w:cs="Arial" w:hint="eastAsia"/>
                <w:sz w:val="20"/>
                <w:szCs w:val="20"/>
              </w:rPr>
              <w:t>N</w:t>
            </w:r>
            <w:r w:rsidRPr="00903C41">
              <w:rPr>
                <w:rFonts w:cs="Arial"/>
                <w:sz w:val="20"/>
                <w:szCs w:val="20"/>
              </w:rPr>
              <w:t>et Initial Yield</w:t>
            </w:r>
          </w:p>
        </w:tc>
        <w:tc>
          <w:tcPr>
            <w:tcW w:w="2057" w:type="dxa"/>
            <w:vAlign w:val="center"/>
          </w:tcPr>
          <w:p w14:paraId="68440ED3" w14:textId="77777777" w:rsidR="004C2A31" w:rsidRPr="00BE204B" w:rsidRDefault="004C2A31" w:rsidP="004C2A31">
            <w:pPr>
              <w:spacing w:before="40" w:after="40"/>
              <w:ind w:left="142"/>
              <w:rPr>
                <w:rFonts w:cs="Arial"/>
                <w:sz w:val="20"/>
                <w:szCs w:val="20"/>
              </w:rPr>
            </w:pPr>
            <w:r w:rsidRPr="00E200AC">
              <w:rPr>
                <w:rFonts w:cs="Arial"/>
                <w:sz w:val="20"/>
                <w:szCs w:val="20"/>
              </w:rPr>
              <w:t>4.39%</w:t>
            </w:r>
          </w:p>
        </w:tc>
        <w:tc>
          <w:tcPr>
            <w:tcW w:w="2057" w:type="dxa"/>
            <w:vAlign w:val="center"/>
          </w:tcPr>
          <w:p w14:paraId="5D1862C8" w14:textId="63444D56" w:rsidR="004C2A31" w:rsidRDefault="004C2A31" w:rsidP="004C2A31">
            <w:pPr>
              <w:spacing w:before="40" w:after="40"/>
              <w:ind w:left="142"/>
              <w:rPr>
                <w:rFonts w:cs="Arial"/>
                <w:sz w:val="20"/>
                <w:szCs w:val="20"/>
              </w:rPr>
            </w:pPr>
            <w:r w:rsidRPr="00E200AC">
              <w:rPr>
                <w:rFonts w:cs="Arial"/>
                <w:sz w:val="20"/>
                <w:szCs w:val="20"/>
              </w:rPr>
              <w:t>4.40%</w:t>
            </w:r>
          </w:p>
        </w:tc>
        <w:tc>
          <w:tcPr>
            <w:tcW w:w="3117" w:type="dxa"/>
            <w:vAlign w:val="center"/>
          </w:tcPr>
          <w:p w14:paraId="15F99730" w14:textId="0B0F1800" w:rsidR="004C2A31" w:rsidRPr="00ED33CB" w:rsidRDefault="004C2A31" w:rsidP="004C2A31">
            <w:pPr>
              <w:spacing w:before="40" w:after="40"/>
              <w:ind w:left="142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NOI/GPP, </w:t>
            </w:r>
            <w:r>
              <w:rPr>
                <w:rFonts w:cs="Arial" w:hint="eastAsia"/>
                <w:sz w:val="20"/>
                <w:szCs w:val="20"/>
              </w:rPr>
              <w:t>D</w:t>
            </w:r>
            <w:r>
              <w:rPr>
                <w:rFonts w:cs="Arial"/>
                <w:sz w:val="20"/>
                <w:szCs w:val="20"/>
              </w:rPr>
              <w:t>ay 1</w:t>
            </w:r>
          </w:p>
        </w:tc>
      </w:tr>
      <w:tr w:rsidR="004C2A31" w:rsidRPr="00ED33CB" w14:paraId="2003B8CD" w14:textId="77777777" w:rsidTr="0008352B">
        <w:trPr>
          <w:gridAfter w:val="1"/>
          <w:wAfter w:w="13" w:type="dxa"/>
          <w:trHeight w:val="532"/>
        </w:trPr>
        <w:tc>
          <w:tcPr>
            <w:tcW w:w="2123" w:type="dxa"/>
            <w:vAlign w:val="center"/>
          </w:tcPr>
          <w:p w14:paraId="12E26F20" w14:textId="77777777" w:rsidR="004C2A31" w:rsidRPr="00ED33CB" w:rsidRDefault="004C2A31" w:rsidP="004C2A31">
            <w:pPr>
              <w:spacing w:before="40" w:after="40"/>
              <w:rPr>
                <w:rFonts w:cs="Arial"/>
                <w:sz w:val="20"/>
                <w:szCs w:val="20"/>
              </w:rPr>
            </w:pPr>
            <w:r w:rsidRPr="00F90FF7">
              <w:rPr>
                <w:rFonts w:cs="Arial"/>
                <w:sz w:val="20"/>
                <w:szCs w:val="20"/>
              </w:rPr>
              <w:t>Going-in NOI Cap Rate</w:t>
            </w:r>
          </w:p>
        </w:tc>
        <w:tc>
          <w:tcPr>
            <w:tcW w:w="2057" w:type="dxa"/>
            <w:vAlign w:val="center"/>
          </w:tcPr>
          <w:p w14:paraId="13CDCB96" w14:textId="77777777" w:rsidR="004C2A31" w:rsidRPr="00BE204B" w:rsidRDefault="004C2A31" w:rsidP="004C2A31">
            <w:pPr>
              <w:spacing w:before="40" w:after="40"/>
              <w:ind w:left="142"/>
              <w:rPr>
                <w:rFonts w:cs="Arial"/>
                <w:sz w:val="20"/>
                <w:szCs w:val="20"/>
              </w:rPr>
            </w:pPr>
            <w:r w:rsidRPr="00E200AC">
              <w:rPr>
                <w:rFonts w:cs="Arial"/>
                <w:sz w:val="20"/>
                <w:szCs w:val="20"/>
              </w:rPr>
              <w:t>4.60%</w:t>
            </w:r>
          </w:p>
        </w:tc>
        <w:tc>
          <w:tcPr>
            <w:tcW w:w="2057" w:type="dxa"/>
            <w:vAlign w:val="center"/>
          </w:tcPr>
          <w:p w14:paraId="0F780659" w14:textId="5A607644" w:rsidR="004C2A31" w:rsidRDefault="004C2A31" w:rsidP="004C2A31">
            <w:pPr>
              <w:spacing w:before="40" w:after="40"/>
              <w:ind w:left="142"/>
              <w:rPr>
                <w:rFonts w:cs="Arial"/>
                <w:sz w:val="20"/>
                <w:szCs w:val="20"/>
              </w:rPr>
            </w:pPr>
            <w:r w:rsidRPr="00E200AC">
              <w:rPr>
                <w:rFonts w:cs="Arial"/>
                <w:sz w:val="20"/>
                <w:szCs w:val="20"/>
              </w:rPr>
              <w:t>4.60%</w:t>
            </w:r>
          </w:p>
        </w:tc>
        <w:tc>
          <w:tcPr>
            <w:tcW w:w="3117" w:type="dxa"/>
            <w:vAlign w:val="center"/>
          </w:tcPr>
          <w:p w14:paraId="5907EC5E" w14:textId="0B9287FF" w:rsidR="004C2A31" w:rsidRPr="00ED33CB" w:rsidRDefault="004C2A31" w:rsidP="004C2A31">
            <w:pPr>
              <w:spacing w:before="40" w:after="40"/>
              <w:ind w:left="142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NOI/NPP, </w:t>
            </w:r>
            <w:r w:rsidRPr="002C1435">
              <w:rPr>
                <w:rFonts w:cs="Arial"/>
                <w:sz w:val="20"/>
                <w:szCs w:val="20"/>
              </w:rPr>
              <w:t>Stabilized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Pr="002C1435">
              <w:rPr>
                <w:rFonts w:cs="Arial"/>
                <w:sz w:val="20"/>
                <w:szCs w:val="20"/>
              </w:rPr>
              <w:t>basis</w:t>
            </w:r>
          </w:p>
        </w:tc>
      </w:tr>
      <w:tr w:rsidR="004C2A31" w:rsidRPr="00ED33CB" w14:paraId="61165F58" w14:textId="77777777" w:rsidTr="0008352B">
        <w:trPr>
          <w:gridAfter w:val="1"/>
          <w:wAfter w:w="13" w:type="dxa"/>
          <w:trHeight w:val="532"/>
        </w:trPr>
        <w:tc>
          <w:tcPr>
            <w:tcW w:w="2123" w:type="dxa"/>
            <w:vAlign w:val="center"/>
          </w:tcPr>
          <w:p w14:paraId="49D56478" w14:textId="77777777" w:rsidR="004C2A31" w:rsidRPr="00ED33CB" w:rsidRDefault="004C2A31" w:rsidP="004C2A31">
            <w:pPr>
              <w:spacing w:before="40" w:after="40"/>
              <w:rPr>
                <w:rFonts w:cs="Arial"/>
                <w:sz w:val="20"/>
                <w:szCs w:val="20"/>
              </w:rPr>
            </w:pPr>
            <w:r w:rsidRPr="00F90FF7">
              <w:rPr>
                <w:rFonts w:cs="Arial"/>
                <w:sz w:val="20"/>
                <w:szCs w:val="20"/>
              </w:rPr>
              <w:t xml:space="preserve">Exit NOI Cap Rate </w:t>
            </w:r>
          </w:p>
        </w:tc>
        <w:tc>
          <w:tcPr>
            <w:tcW w:w="2057" w:type="dxa"/>
            <w:vAlign w:val="center"/>
          </w:tcPr>
          <w:p w14:paraId="1A7C1AD3" w14:textId="77777777" w:rsidR="004C2A31" w:rsidRPr="00BE204B" w:rsidRDefault="004C2A31" w:rsidP="004C2A31">
            <w:pPr>
              <w:spacing w:before="40" w:after="40"/>
              <w:ind w:left="142"/>
              <w:rPr>
                <w:rFonts w:cs="Arial"/>
                <w:sz w:val="20"/>
                <w:szCs w:val="20"/>
              </w:rPr>
            </w:pPr>
            <w:r w:rsidRPr="00E200AC">
              <w:rPr>
                <w:rFonts w:cs="Arial"/>
                <w:sz w:val="20"/>
                <w:szCs w:val="20"/>
              </w:rPr>
              <w:t>3.80%</w:t>
            </w:r>
          </w:p>
        </w:tc>
        <w:tc>
          <w:tcPr>
            <w:tcW w:w="2057" w:type="dxa"/>
            <w:vAlign w:val="center"/>
          </w:tcPr>
          <w:p w14:paraId="0FE08C80" w14:textId="1A8E8BB7" w:rsidR="004C2A31" w:rsidRPr="00ED33CB" w:rsidRDefault="004C2A31" w:rsidP="004C2A31">
            <w:pPr>
              <w:spacing w:before="40" w:after="40"/>
              <w:ind w:left="142"/>
              <w:rPr>
                <w:rFonts w:cs="Arial"/>
                <w:sz w:val="20"/>
                <w:szCs w:val="20"/>
              </w:rPr>
            </w:pPr>
            <w:r w:rsidRPr="00E200AC">
              <w:rPr>
                <w:rFonts w:cs="Arial"/>
                <w:sz w:val="20"/>
                <w:szCs w:val="20"/>
              </w:rPr>
              <w:t>3.80%</w:t>
            </w:r>
          </w:p>
        </w:tc>
        <w:tc>
          <w:tcPr>
            <w:tcW w:w="3117" w:type="dxa"/>
            <w:vAlign w:val="center"/>
          </w:tcPr>
          <w:p w14:paraId="261DD237" w14:textId="0A984D77" w:rsidR="004C2A31" w:rsidRPr="00ED33CB" w:rsidRDefault="004C2A31" w:rsidP="004C2A31">
            <w:pPr>
              <w:spacing w:before="40" w:after="40"/>
              <w:ind w:left="142"/>
              <w:rPr>
                <w:rFonts w:cs="Arial"/>
                <w:sz w:val="20"/>
                <w:szCs w:val="20"/>
              </w:rPr>
            </w:pPr>
          </w:p>
        </w:tc>
      </w:tr>
      <w:tr w:rsidR="0008352B" w:rsidRPr="00ED33CB" w14:paraId="7539BE5D" w14:textId="77777777">
        <w:trPr>
          <w:trHeight w:val="262"/>
        </w:trPr>
        <w:tc>
          <w:tcPr>
            <w:tcW w:w="9367" w:type="dxa"/>
            <w:gridSpan w:val="5"/>
            <w:shd w:val="clear" w:color="auto" w:fill="021D49"/>
          </w:tcPr>
          <w:p w14:paraId="3254AB3B" w14:textId="347ABBCE" w:rsidR="0008352B" w:rsidRPr="00ED33CB" w:rsidRDefault="0008352B" w:rsidP="004C2A31">
            <w:pPr>
              <w:spacing w:before="40" w:after="40"/>
              <w:rPr>
                <w:rFonts w:cs="Arial"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  <w:t>OTHER</w:t>
            </w:r>
          </w:p>
        </w:tc>
      </w:tr>
      <w:tr w:rsidR="0008352B" w:rsidRPr="00ED33CB" w14:paraId="5D79E60A" w14:textId="77777777">
        <w:trPr>
          <w:trHeight w:val="480"/>
        </w:trPr>
        <w:tc>
          <w:tcPr>
            <w:tcW w:w="9367" w:type="dxa"/>
            <w:gridSpan w:val="5"/>
          </w:tcPr>
          <w:p w14:paraId="4348DE03" w14:textId="0790A5F6" w:rsidR="0008352B" w:rsidRPr="00ED33CB" w:rsidRDefault="0008352B" w:rsidP="004C2A31">
            <w:pPr>
              <w:spacing w:before="40" w:after="40"/>
              <w:rPr>
                <w:rFonts w:cs="Arial"/>
                <w:sz w:val="20"/>
                <w:szCs w:val="20"/>
              </w:rPr>
            </w:pPr>
            <w:r w:rsidRPr="00827566">
              <w:rPr>
                <w:rFonts w:cs="Arial"/>
                <w:sz w:val="20"/>
                <w:szCs w:val="20"/>
              </w:rPr>
              <w:t xml:space="preserve">Please see appendix for </w:t>
            </w:r>
            <w:proofErr w:type="gramStart"/>
            <w:r w:rsidRPr="00827566">
              <w:rPr>
                <w:rFonts w:cs="Arial"/>
                <w:sz w:val="20"/>
                <w:szCs w:val="20"/>
              </w:rPr>
              <w:t>sensitivities.</w:t>
            </w:r>
            <w:r w:rsidR="008C1356">
              <w:rPr>
                <w:rFonts w:cs="Arial"/>
                <w:sz w:val="20"/>
                <w:szCs w:val="20"/>
              </w:rPr>
              <w:t>*</w:t>
            </w:r>
            <w:proofErr w:type="gramEnd"/>
          </w:p>
        </w:tc>
      </w:tr>
    </w:tbl>
    <w:p w14:paraId="36DB6314" w14:textId="77777777" w:rsidR="00982DEE" w:rsidRDefault="00982DEE" w:rsidP="00C5190E">
      <w:pPr>
        <w:rPr>
          <w:rFonts w:cs="Arial"/>
          <w:b/>
          <w:bCs/>
          <w:sz w:val="20"/>
          <w:szCs w:val="20"/>
        </w:rPr>
      </w:pPr>
    </w:p>
    <w:p w14:paraId="787AE173" w14:textId="4F1593EB" w:rsidR="00BC7BE4" w:rsidRDefault="00BC7BE4" w:rsidP="00C5190E">
      <w:pPr>
        <w:rPr>
          <w:rFonts w:eastAsia="Yu Gothic" w:cs="Arial"/>
          <w:sz w:val="20"/>
          <w:szCs w:val="20"/>
        </w:rPr>
      </w:pPr>
      <w:r>
        <w:rPr>
          <w:rFonts w:eastAsia="Yu Gothic" w:cs="Arial"/>
          <w:sz w:val="20"/>
          <w:szCs w:val="20"/>
        </w:rPr>
        <w:t xml:space="preserve">*Downside case assumes the base rate moves out </w:t>
      </w:r>
      <w:r w:rsidR="00243F77">
        <w:rPr>
          <w:rFonts w:eastAsia="Yu Gothic" w:cs="Arial"/>
          <w:sz w:val="20"/>
          <w:szCs w:val="20"/>
        </w:rPr>
        <w:t>3</w:t>
      </w:r>
      <w:r>
        <w:rPr>
          <w:rFonts w:eastAsia="Yu Gothic" w:cs="Arial"/>
          <w:sz w:val="20"/>
          <w:szCs w:val="20"/>
        </w:rPr>
        <w:t>0 bps before the closing timing</w:t>
      </w:r>
      <w:r w:rsidR="00303EB2">
        <w:rPr>
          <w:rFonts w:eastAsia="Yu Gothic" w:cs="Arial"/>
          <w:sz w:val="20"/>
          <w:szCs w:val="20"/>
        </w:rPr>
        <w:t>, which is currently considered an extreme movement</w:t>
      </w:r>
      <w:r>
        <w:rPr>
          <w:rFonts w:eastAsia="Yu Gothic" w:cs="Arial"/>
          <w:sz w:val="20"/>
          <w:szCs w:val="20"/>
        </w:rPr>
        <w:t>.</w:t>
      </w:r>
    </w:p>
    <w:p w14:paraId="1A6BAF22" w14:textId="77777777" w:rsidR="006C3281" w:rsidRDefault="006C3281" w:rsidP="00C5190E">
      <w:pPr>
        <w:rPr>
          <w:rFonts w:cs="Arial"/>
          <w:sz w:val="20"/>
          <w:szCs w:val="20"/>
        </w:rPr>
      </w:pPr>
    </w:p>
    <w:p w14:paraId="36052B49" w14:textId="497A8CCB" w:rsidR="008C62C5" w:rsidRDefault="008C62C5">
      <w:pPr>
        <w:spacing w:after="200" w:line="276" w:lineRule="auto"/>
        <w:rPr>
          <w:rFonts w:eastAsia="Times New Roman" w:cs="Times New Roman"/>
          <w:b/>
          <w:bCs/>
          <w:color w:val="003366"/>
          <w:sz w:val="28"/>
          <w:szCs w:val="20"/>
        </w:rPr>
      </w:pPr>
    </w:p>
    <w:p w14:paraId="269CCB81" w14:textId="03A397DA" w:rsidR="00515616" w:rsidRPr="00ED33CB" w:rsidRDefault="00515616" w:rsidP="0066693B">
      <w:pPr>
        <w:pStyle w:val="Heading1"/>
        <w:tabs>
          <w:tab w:val="clear" w:pos="432"/>
          <w:tab w:val="num" w:pos="426"/>
        </w:tabs>
      </w:pPr>
      <w:r w:rsidRPr="00ED33CB">
        <w:t xml:space="preserve">Conclusion and Final Recommendation </w:t>
      </w:r>
    </w:p>
    <w:p w14:paraId="10783C38" w14:textId="7325C6B3" w:rsidR="00A37750" w:rsidRDefault="00A37750" w:rsidP="00A37750">
      <w:pPr>
        <w:rPr>
          <w:rFonts w:cs="Arial"/>
          <w:lang w:val="en-SG" w:eastAsia="ja-JP"/>
        </w:rPr>
      </w:pPr>
      <w:r w:rsidRPr="00017386">
        <w:rPr>
          <w:rFonts w:cs="Arial"/>
        </w:rPr>
        <w:t xml:space="preserve">The </w:t>
      </w:r>
      <w:r w:rsidRPr="00017386">
        <w:rPr>
          <w:rFonts w:cs="Arial"/>
          <w:lang w:eastAsia="ja-JP"/>
        </w:rPr>
        <w:t xml:space="preserve">Transaction </w:t>
      </w:r>
      <w:r w:rsidRPr="005404B4">
        <w:rPr>
          <w:rFonts w:cs="Arial"/>
        </w:rPr>
        <w:t>Sponsor</w:t>
      </w:r>
      <w:r w:rsidRPr="005404B4">
        <w:rPr>
          <w:rFonts w:cs="Arial"/>
          <w:lang w:eastAsia="ja-JP"/>
        </w:rPr>
        <w:t>s</w:t>
      </w:r>
      <w:r w:rsidRPr="005404B4">
        <w:rPr>
          <w:rFonts w:cs="Arial"/>
        </w:rPr>
        <w:t xml:space="preserve"> request</w:t>
      </w:r>
      <w:r w:rsidRPr="005404B4">
        <w:rPr>
          <w:rFonts w:cs="Arial"/>
          <w:lang w:eastAsia="ja-JP"/>
        </w:rPr>
        <w:t xml:space="preserve"> that</w:t>
      </w:r>
      <w:r w:rsidRPr="005404B4">
        <w:rPr>
          <w:rFonts w:cs="Arial"/>
        </w:rPr>
        <w:t xml:space="preserve"> </w:t>
      </w:r>
      <w:r w:rsidRPr="0094169B">
        <w:rPr>
          <w:rFonts w:cs="Arial"/>
          <w:lang w:eastAsia="ja-JP"/>
        </w:rPr>
        <w:t xml:space="preserve">the </w:t>
      </w:r>
      <w:r>
        <w:rPr>
          <w:rFonts w:cs="Arial"/>
          <w:lang w:eastAsia="ja-JP"/>
        </w:rPr>
        <w:t>I</w:t>
      </w:r>
      <w:r w:rsidRPr="00017386">
        <w:rPr>
          <w:rFonts w:cs="Arial"/>
          <w:lang w:eastAsia="ja-JP"/>
        </w:rPr>
        <w:t>AC endorse our</w:t>
      </w:r>
      <w:r w:rsidRPr="00017386">
        <w:rPr>
          <w:rFonts w:cs="Arial"/>
        </w:rPr>
        <w:t xml:space="preserve"> recommendation </w:t>
      </w:r>
      <w:r w:rsidRPr="005404B4">
        <w:rPr>
          <w:rFonts w:cs="Arial"/>
          <w:lang w:eastAsia="ja-JP"/>
        </w:rPr>
        <w:t xml:space="preserve">to </w:t>
      </w:r>
      <w:r w:rsidRPr="005404B4">
        <w:rPr>
          <w:rFonts w:cs="Arial"/>
          <w:lang w:val="en-SG" w:eastAsia="ja-JP"/>
        </w:rPr>
        <w:t xml:space="preserve">proceed with the acquisition for the </w:t>
      </w:r>
      <w:r>
        <w:rPr>
          <w:rFonts w:cs="Arial"/>
          <w:lang w:val="en-SG" w:eastAsia="ja-JP"/>
        </w:rPr>
        <w:t>Asia Pacific Investment and Growth Fund</w:t>
      </w:r>
      <w:r w:rsidRPr="005404B4">
        <w:rPr>
          <w:rFonts w:cs="Arial"/>
          <w:lang w:val="en-SG" w:eastAsia="ja-JP"/>
        </w:rPr>
        <w:t xml:space="preserve"> under the conditions outlined herein.</w:t>
      </w:r>
    </w:p>
    <w:p w14:paraId="0EC2DCF9" w14:textId="77777777" w:rsidR="00A37750" w:rsidRPr="007C1D0E" w:rsidRDefault="00A37750" w:rsidP="00A37750">
      <w:pPr>
        <w:ind w:left="567"/>
        <w:jc w:val="both"/>
        <w:rPr>
          <w:rFonts w:cs="Arial"/>
          <w:color w:val="FF0000"/>
          <w:sz w:val="20"/>
        </w:rPr>
      </w:pPr>
    </w:p>
    <w:tbl>
      <w:tblPr>
        <w:tblW w:w="9072" w:type="dxa"/>
        <w:tblInd w:w="108" w:type="dxa"/>
        <w:tblBorders>
          <w:top w:val="single" w:sz="4" w:space="0" w:color="808080"/>
          <w:bottom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977"/>
        <w:gridCol w:w="2977"/>
        <w:gridCol w:w="3118"/>
      </w:tblGrid>
      <w:tr w:rsidR="00A37750" w:rsidRPr="00ED33CB" w14:paraId="3797C5AF" w14:textId="77777777" w:rsidTr="00F6608B">
        <w:trPr>
          <w:trHeight w:val="265"/>
        </w:trPr>
        <w:tc>
          <w:tcPr>
            <w:tcW w:w="2977" w:type="dxa"/>
            <w:tcBorders>
              <w:bottom w:val="single" w:sz="4" w:space="0" w:color="808080"/>
            </w:tcBorders>
            <w:shd w:val="clear" w:color="auto" w:fill="404040"/>
          </w:tcPr>
          <w:p w14:paraId="64A3F03B" w14:textId="77777777" w:rsidR="00A37750" w:rsidRDefault="00A37750" w:rsidP="00F6608B">
            <w:pPr>
              <w:spacing w:before="40" w:after="40"/>
              <w:ind w:left="284"/>
              <w:rPr>
                <w:rFonts w:cs="Arial"/>
                <w:color w:val="FFFFFF" w:themeColor="background1"/>
                <w:sz w:val="20"/>
                <w:szCs w:val="20"/>
              </w:rPr>
            </w:pPr>
            <w:bookmarkStart w:id="0" w:name="_Hlk45201818"/>
            <w:r w:rsidRPr="00ED33CB">
              <w:rPr>
                <w:rFonts w:cs="Arial"/>
                <w:color w:val="FFFFFF" w:themeColor="background1"/>
                <w:sz w:val="20"/>
                <w:szCs w:val="20"/>
              </w:rPr>
              <w:t xml:space="preserve">Transaction Sponsor </w:t>
            </w:r>
          </w:p>
          <w:p w14:paraId="0043F4FC" w14:textId="77777777" w:rsidR="00A37750" w:rsidRPr="00ED33CB" w:rsidRDefault="00A37750" w:rsidP="00F6608B">
            <w:pPr>
              <w:spacing w:before="40" w:after="40"/>
              <w:ind w:left="284"/>
              <w:rPr>
                <w:rFonts w:cs="Arial"/>
                <w:color w:val="FFFFFF" w:themeColor="background1"/>
                <w:sz w:val="20"/>
                <w:szCs w:val="20"/>
              </w:rPr>
            </w:pPr>
            <w:r w:rsidRPr="00ED33CB">
              <w:rPr>
                <w:rFonts w:cs="Arial"/>
                <w:color w:val="FFFFFF" w:themeColor="background1"/>
                <w:sz w:val="20"/>
                <w:szCs w:val="20"/>
              </w:rPr>
              <w:t>(Fund Manager)</w:t>
            </w:r>
          </w:p>
        </w:tc>
        <w:tc>
          <w:tcPr>
            <w:tcW w:w="2977" w:type="dxa"/>
            <w:tcBorders>
              <w:bottom w:val="single" w:sz="4" w:space="0" w:color="808080"/>
            </w:tcBorders>
            <w:shd w:val="clear" w:color="auto" w:fill="404040"/>
          </w:tcPr>
          <w:p w14:paraId="4A1A0A17" w14:textId="77777777" w:rsidR="00A37750" w:rsidRPr="00ED33CB" w:rsidRDefault="00A37750" w:rsidP="00F6608B">
            <w:pPr>
              <w:spacing w:before="40" w:after="40"/>
              <w:ind w:left="142"/>
              <w:rPr>
                <w:rFonts w:cs="Arial"/>
                <w:color w:val="FFFFFF" w:themeColor="background1"/>
                <w:sz w:val="20"/>
                <w:szCs w:val="20"/>
              </w:rPr>
            </w:pPr>
            <w:r w:rsidRPr="00ED33CB">
              <w:rPr>
                <w:rFonts w:cs="Arial"/>
                <w:color w:val="FFFFFF" w:themeColor="background1"/>
                <w:sz w:val="20"/>
                <w:szCs w:val="20"/>
              </w:rPr>
              <w:t xml:space="preserve">Transaction Manager </w:t>
            </w:r>
          </w:p>
        </w:tc>
        <w:tc>
          <w:tcPr>
            <w:tcW w:w="3118" w:type="dxa"/>
            <w:tcBorders>
              <w:bottom w:val="single" w:sz="4" w:space="0" w:color="808080"/>
            </w:tcBorders>
            <w:shd w:val="clear" w:color="auto" w:fill="404040"/>
          </w:tcPr>
          <w:p w14:paraId="6401E414" w14:textId="77777777" w:rsidR="00A37750" w:rsidRPr="00ED33CB" w:rsidRDefault="00A37750" w:rsidP="00F6608B">
            <w:pPr>
              <w:spacing w:before="40" w:after="40"/>
              <w:ind w:left="142"/>
              <w:rPr>
                <w:rFonts w:cs="Arial"/>
                <w:color w:val="FFFFFF" w:themeColor="background1"/>
                <w:sz w:val="20"/>
                <w:szCs w:val="20"/>
              </w:rPr>
            </w:pPr>
            <w:r w:rsidRPr="00ED33CB">
              <w:rPr>
                <w:rFonts w:cs="Arial"/>
                <w:color w:val="FFFFFF" w:themeColor="background1"/>
                <w:sz w:val="20"/>
                <w:szCs w:val="20"/>
              </w:rPr>
              <w:t xml:space="preserve">Fund Finance Manager </w:t>
            </w:r>
          </w:p>
        </w:tc>
      </w:tr>
      <w:tr w:rsidR="00A37750" w:rsidRPr="00ED33CB" w14:paraId="1D949583" w14:textId="77777777" w:rsidTr="003F5234">
        <w:trPr>
          <w:trHeight w:val="1429"/>
        </w:trPr>
        <w:tc>
          <w:tcPr>
            <w:tcW w:w="2977" w:type="dxa"/>
            <w:shd w:val="clear" w:color="auto" w:fill="FFFFFF" w:themeFill="background1"/>
          </w:tcPr>
          <w:p w14:paraId="166877A3" w14:textId="77777777" w:rsidR="00A37750" w:rsidRDefault="00A37750" w:rsidP="003F5234">
            <w:pPr>
              <w:rPr>
                <w:rFonts w:cs="Arial"/>
                <w:sz w:val="20"/>
                <w:szCs w:val="20"/>
              </w:rPr>
            </w:pPr>
          </w:p>
          <w:p w14:paraId="40C26FC6" w14:textId="77777777" w:rsidR="00A37750" w:rsidRDefault="00A37750" w:rsidP="00F6608B">
            <w:pPr>
              <w:rPr>
                <w:rFonts w:cs="Arial"/>
                <w:sz w:val="20"/>
                <w:szCs w:val="20"/>
              </w:rPr>
            </w:pPr>
          </w:p>
          <w:p w14:paraId="7BE6128A" w14:textId="77777777" w:rsidR="00A37750" w:rsidRDefault="00A37750" w:rsidP="00F6608B">
            <w:pPr>
              <w:rPr>
                <w:rFonts w:cs="Arial"/>
                <w:sz w:val="20"/>
                <w:szCs w:val="20"/>
              </w:rPr>
            </w:pPr>
          </w:p>
          <w:p w14:paraId="44624479" w14:textId="77777777" w:rsidR="00A37750" w:rsidRDefault="00A37750" w:rsidP="00F6608B">
            <w:pPr>
              <w:ind w:left="142" w:firstLineChars="250" w:firstLine="500"/>
              <w:rPr>
                <w:rFonts w:cs="Arial"/>
                <w:sz w:val="20"/>
                <w:szCs w:val="20"/>
              </w:rPr>
            </w:pPr>
          </w:p>
          <w:p w14:paraId="08E9B80B" w14:textId="77777777" w:rsidR="00A37750" w:rsidRDefault="00A37750" w:rsidP="00F6608B">
            <w:pPr>
              <w:ind w:left="142"/>
              <w:rPr>
                <w:rFonts w:cs="Arial"/>
                <w:sz w:val="20"/>
                <w:szCs w:val="20"/>
              </w:rPr>
            </w:pPr>
          </w:p>
          <w:p w14:paraId="0946288F" w14:textId="77777777" w:rsidR="00A37750" w:rsidRPr="00ED33CB" w:rsidRDefault="00A37750" w:rsidP="00F6608B">
            <w:pPr>
              <w:ind w:left="142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Greg Lapham</w:t>
            </w:r>
          </w:p>
        </w:tc>
        <w:tc>
          <w:tcPr>
            <w:tcW w:w="2977" w:type="dxa"/>
            <w:shd w:val="clear" w:color="auto" w:fill="FFFFFF" w:themeFill="background1"/>
          </w:tcPr>
          <w:p w14:paraId="638EB004" w14:textId="77777777" w:rsidR="00A37750" w:rsidRPr="00ED33CB" w:rsidRDefault="00A37750" w:rsidP="00F6608B">
            <w:pPr>
              <w:ind w:left="142"/>
              <w:rPr>
                <w:rFonts w:cs="Arial"/>
                <w:sz w:val="20"/>
                <w:szCs w:val="20"/>
              </w:rPr>
            </w:pPr>
          </w:p>
          <w:p w14:paraId="7EB82FF3" w14:textId="77777777" w:rsidR="000D5286" w:rsidRDefault="000D5286" w:rsidP="00F6608B">
            <w:pPr>
              <w:ind w:left="142"/>
              <w:rPr>
                <w:rFonts w:cs="Arial"/>
                <w:sz w:val="20"/>
                <w:szCs w:val="20"/>
              </w:rPr>
            </w:pPr>
          </w:p>
          <w:p w14:paraId="457472D6" w14:textId="40CFCB54" w:rsidR="00A37750" w:rsidRDefault="00A37750" w:rsidP="00F6608B">
            <w:pPr>
              <w:ind w:left="142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W</w:t>
            </w:r>
            <w:r>
              <w:rPr>
                <w:rFonts w:cs="Arial"/>
                <w:sz w:val="20"/>
                <w:szCs w:val="20"/>
              </w:rPr>
              <w:t>ill Johnson</w:t>
            </w:r>
          </w:p>
          <w:p w14:paraId="027981B0" w14:textId="77777777" w:rsidR="00A37750" w:rsidRDefault="00A37750" w:rsidP="00F6608B">
            <w:pPr>
              <w:ind w:left="142"/>
              <w:rPr>
                <w:rFonts w:cs="Arial"/>
                <w:sz w:val="20"/>
                <w:szCs w:val="20"/>
              </w:rPr>
            </w:pPr>
          </w:p>
          <w:p w14:paraId="7FBE40FB" w14:textId="77777777" w:rsidR="000D5286" w:rsidRDefault="000D5286" w:rsidP="00F6608B">
            <w:pPr>
              <w:ind w:left="142"/>
              <w:rPr>
                <w:rFonts w:cs="Arial"/>
                <w:sz w:val="20"/>
                <w:szCs w:val="20"/>
              </w:rPr>
            </w:pPr>
          </w:p>
          <w:p w14:paraId="2BF74AD6" w14:textId="10A68051" w:rsidR="00A37750" w:rsidRPr="00ED33CB" w:rsidRDefault="00830BAE" w:rsidP="00F6608B">
            <w:pPr>
              <w:ind w:left="142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Takaaki Watanabe</w:t>
            </w:r>
          </w:p>
        </w:tc>
        <w:tc>
          <w:tcPr>
            <w:tcW w:w="3118" w:type="dxa"/>
            <w:shd w:val="clear" w:color="auto" w:fill="FFFFFF" w:themeFill="background1"/>
          </w:tcPr>
          <w:p w14:paraId="0D50AAB5" w14:textId="77777777" w:rsidR="00A37750" w:rsidRDefault="00A37750" w:rsidP="003F5234">
            <w:pPr>
              <w:rPr>
                <w:rFonts w:cs="Arial"/>
                <w:sz w:val="20"/>
                <w:szCs w:val="20"/>
              </w:rPr>
            </w:pPr>
          </w:p>
          <w:p w14:paraId="6AB19A53" w14:textId="77777777" w:rsidR="00A37750" w:rsidRDefault="00A37750" w:rsidP="00F6608B">
            <w:pPr>
              <w:ind w:left="142"/>
              <w:rPr>
                <w:rFonts w:cs="Arial"/>
                <w:sz w:val="20"/>
                <w:szCs w:val="20"/>
              </w:rPr>
            </w:pPr>
          </w:p>
          <w:p w14:paraId="7F2867C2" w14:textId="77777777" w:rsidR="00A37750" w:rsidRDefault="00A37750" w:rsidP="00F6608B">
            <w:pPr>
              <w:rPr>
                <w:rFonts w:cs="Arial"/>
                <w:sz w:val="20"/>
                <w:szCs w:val="20"/>
              </w:rPr>
            </w:pPr>
          </w:p>
          <w:p w14:paraId="4C218B8A" w14:textId="77777777" w:rsidR="00A37750" w:rsidRDefault="00A37750" w:rsidP="00F6608B">
            <w:pPr>
              <w:ind w:left="142"/>
              <w:rPr>
                <w:rFonts w:cs="Arial"/>
                <w:sz w:val="20"/>
                <w:szCs w:val="20"/>
              </w:rPr>
            </w:pPr>
          </w:p>
          <w:p w14:paraId="3DF315F5" w14:textId="77777777" w:rsidR="00A37750" w:rsidRDefault="00A37750" w:rsidP="00F6608B">
            <w:pPr>
              <w:ind w:left="142"/>
              <w:rPr>
                <w:rFonts w:cs="Arial"/>
                <w:sz w:val="20"/>
                <w:szCs w:val="20"/>
              </w:rPr>
            </w:pPr>
          </w:p>
          <w:p w14:paraId="319E3644" w14:textId="77777777" w:rsidR="00A37750" w:rsidRPr="00ED33CB" w:rsidRDefault="00A37750" w:rsidP="00F6608B">
            <w:pPr>
              <w:ind w:left="142"/>
              <w:rPr>
                <w:rFonts w:cs="Arial"/>
                <w:sz w:val="20"/>
                <w:szCs w:val="20"/>
              </w:rPr>
            </w:pPr>
            <w:r w:rsidRPr="00DE5A41">
              <w:rPr>
                <w:rFonts w:cs="Arial"/>
                <w:sz w:val="20"/>
                <w:szCs w:val="20"/>
              </w:rPr>
              <w:t>Ken Shimamura</w:t>
            </w:r>
          </w:p>
        </w:tc>
      </w:tr>
      <w:bookmarkEnd w:id="0"/>
    </w:tbl>
    <w:p w14:paraId="68388F04" w14:textId="77777777" w:rsidR="00A37750" w:rsidRDefault="00A37750" w:rsidP="00A37750">
      <w:pPr>
        <w:jc w:val="both"/>
        <w:rPr>
          <w:sz w:val="20"/>
        </w:rPr>
      </w:pPr>
    </w:p>
    <w:p w14:paraId="22FD51E9" w14:textId="2CAC99C4" w:rsidR="0008352B" w:rsidRDefault="0008352B">
      <w:pPr>
        <w:spacing w:after="200" w:line="276" w:lineRule="auto"/>
        <w:rPr>
          <w:rFonts w:cs="Arial"/>
          <w:color w:val="FF0000"/>
          <w:lang w:eastAsia="ja-JP"/>
        </w:rPr>
      </w:pPr>
      <w:r>
        <w:rPr>
          <w:rFonts w:cs="Arial"/>
          <w:color w:val="FF0000"/>
          <w:lang w:eastAsia="ja-JP"/>
        </w:rPr>
        <w:br w:type="page"/>
      </w:r>
    </w:p>
    <w:p w14:paraId="6437BA78" w14:textId="07AAEDB5" w:rsidR="0008352B" w:rsidRPr="00D55032" w:rsidRDefault="0008352B" w:rsidP="0008352B">
      <w:pPr>
        <w:pStyle w:val="BodyText"/>
        <w:spacing w:line="240" w:lineRule="auto"/>
        <w:rPr>
          <w:b/>
          <w:bCs/>
          <w:color w:val="021D49"/>
          <w:sz w:val="32"/>
        </w:rPr>
      </w:pPr>
      <w:r w:rsidRPr="00D55032">
        <w:rPr>
          <w:b/>
          <w:bCs/>
          <w:color w:val="021D49"/>
          <w:sz w:val="32"/>
        </w:rPr>
        <w:t xml:space="preserve">Stage </w:t>
      </w:r>
      <w:r>
        <w:rPr>
          <w:b/>
          <w:bCs/>
          <w:color w:val="021D49"/>
          <w:sz w:val="32"/>
        </w:rPr>
        <w:t>3</w:t>
      </w:r>
      <w:r w:rsidRPr="00D55032">
        <w:rPr>
          <w:b/>
          <w:bCs/>
          <w:color w:val="021D49"/>
          <w:sz w:val="32"/>
        </w:rPr>
        <w:t xml:space="preserve"> Appendices</w:t>
      </w:r>
    </w:p>
    <w:p w14:paraId="48F97F69" w14:textId="77777777" w:rsidR="0008352B" w:rsidRPr="00ED33CB" w:rsidRDefault="0008352B" w:rsidP="0008352B">
      <w:pPr>
        <w:ind w:left="142"/>
        <w:rPr>
          <w:rFonts w:cs="Arial"/>
          <w:sz w:val="20"/>
          <w:szCs w:val="20"/>
        </w:rPr>
      </w:pPr>
    </w:p>
    <w:p w14:paraId="2699B59D" w14:textId="77777777" w:rsidR="0008352B" w:rsidRPr="000824DC" w:rsidRDefault="0008352B" w:rsidP="0008352B">
      <w:pPr>
        <w:spacing w:before="40" w:after="40"/>
        <w:rPr>
          <w:rFonts w:cs="Arial"/>
          <w:b/>
          <w:bCs/>
          <w:u w:val="single"/>
          <w:lang w:val="en-US"/>
        </w:rPr>
      </w:pPr>
      <w:r w:rsidRPr="007A4C2A">
        <w:rPr>
          <w:rFonts w:cs="Arial"/>
          <w:b/>
          <w:u w:val="single"/>
        </w:rPr>
        <w:t>1) Sensitivities (stand-alone basis)</w:t>
      </w:r>
    </w:p>
    <w:p w14:paraId="7493C69F" w14:textId="77777777" w:rsidR="00575C86" w:rsidRDefault="00575C86" w:rsidP="003F5234">
      <w:pPr>
        <w:keepNext/>
        <w:spacing w:after="120"/>
        <w:jc w:val="both"/>
        <w:outlineLvl w:val="0"/>
        <w:rPr>
          <w:rFonts w:cs="Arial"/>
          <w:color w:val="FF0000"/>
          <w:lang w:val="en-US" w:eastAsia="ja-JP"/>
        </w:rPr>
      </w:pPr>
    </w:p>
    <w:p w14:paraId="2CBCD602" w14:textId="77777777" w:rsidR="0008352B" w:rsidRPr="00573ED5" w:rsidRDefault="0008352B" w:rsidP="0008352B">
      <w:pPr>
        <w:jc w:val="both"/>
        <w:rPr>
          <w:rFonts w:cs="Arial"/>
          <w:b/>
          <w:bCs/>
          <w:i/>
          <w:sz w:val="20"/>
        </w:rPr>
      </w:pPr>
      <w:r w:rsidRPr="00573ED5">
        <w:rPr>
          <w:rFonts w:cs="Arial"/>
          <w:b/>
          <w:i/>
          <w:sz w:val="20"/>
        </w:rPr>
        <w:t>Base case scenario – Fund-level returns (post tax, post-fees)</w:t>
      </w:r>
    </w:p>
    <w:p w14:paraId="636AD3EE" w14:textId="77777777" w:rsidR="0008352B" w:rsidRPr="00B008A6" w:rsidRDefault="0008352B" w:rsidP="0008352B">
      <w:pPr>
        <w:jc w:val="both"/>
        <w:rPr>
          <w:rFonts w:cs="Arial"/>
          <w:b/>
          <w:bCs/>
          <w:i/>
          <w:sz w:val="20"/>
        </w:rPr>
      </w:pPr>
    </w:p>
    <w:p w14:paraId="22C202B1" w14:textId="1129FE7D" w:rsidR="00830BAE" w:rsidRDefault="00CF6579" w:rsidP="0008352B">
      <w:pPr>
        <w:jc w:val="both"/>
        <w:rPr>
          <w:rFonts w:cs="Arial"/>
          <w:i/>
          <w:color w:val="FF0000"/>
          <w:sz w:val="20"/>
          <w:szCs w:val="20"/>
        </w:rPr>
      </w:pPr>
      <w:r w:rsidRPr="00CF6579">
        <w:drawing>
          <wp:inline distT="0" distB="0" distL="0" distR="0" wp14:anchorId="7952E330" wp14:editId="71CAD814">
            <wp:extent cx="4162358" cy="2376534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30"/>
                    <a:stretch/>
                  </pic:blipFill>
                  <pic:spPr bwMode="auto">
                    <a:xfrm>
                      <a:off x="0" y="0"/>
                      <a:ext cx="4163653" cy="237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DB665D" w14:textId="77777777" w:rsidR="00830BAE" w:rsidRDefault="00830BAE" w:rsidP="0008352B">
      <w:pPr>
        <w:jc w:val="both"/>
        <w:rPr>
          <w:rFonts w:cs="Arial"/>
          <w:i/>
          <w:color w:val="FF0000"/>
          <w:sz w:val="20"/>
          <w:szCs w:val="20"/>
        </w:rPr>
      </w:pPr>
    </w:p>
    <w:p w14:paraId="0BA03BFF" w14:textId="77777777" w:rsidR="0008352B" w:rsidRDefault="0008352B" w:rsidP="0008352B">
      <w:pPr>
        <w:jc w:val="both"/>
        <w:rPr>
          <w:rFonts w:cs="Arial"/>
          <w:i/>
          <w:color w:val="FF0000"/>
          <w:sz w:val="20"/>
          <w:szCs w:val="20"/>
        </w:rPr>
      </w:pPr>
    </w:p>
    <w:p w14:paraId="1D2A6D6C" w14:textId="77777777" w:rsidR="0008352B" w:rsidRPr="00573ED5" w:rsidRDefault="0008352B" w:rsidP="0008352B">
      <w:pPr>
        <w:jc w:val="both"/>
        <w:rPr>
          <w:rFonts w:cs="Arial"/>
          <w:b/>
          <w:bCs/>
          <w:i/>
          <w:sz w:val="20"/>
        </w:rPr>
      </w:pPr>
      <w:r w:rsidRPr="00573ED5">
        <w:rPr>
          <w:rFonts w:cs="Arial"/>
          <w:b/>
          <w:i/>
          <w:sz w:val="20"/>
        </w:rPr>
        <w:t>Downside scenario 1: +30bps on base rate – Fund-level returns (post tax, post-fees)</w:t>
      </w:r>
    </w:p>
    <w:p w14:paraId="7FB47C28" w14:textId="77777777" w:rsidR="0008352B" w:rsidRDefault="0008352B" w:rsidP="0008352B">
      <w:pPr>
        <w:jc w:val="both"/>
        <w:rPr>
          <w:rFonts w:cs="Arial"/>
          <w:b/>
          <w:bCs/>
          <w:i/>
          <w:sz w:val="20"/>
        </w:rPr>
      </w:pPr>
    </w:p>
    <w:p w14:paraId="4AA81FDF" w14:textId="64029C18" w:rsidR="00830BAE" w:rsidRDefault="003C4D98" w:rsidP="0008352B">
      <w:pPr>
        <w:jc w:val="both"/>
        <w:rPr>
          <w:rFonts w:cs="Arial"/>
          <w:i/>
          <w:color w:val="FF0000"/>
          <w:sz w:val="20"/>
          <w:szCs w:val="20"/>
        </w:rPr>
      </w:pPr>
      <w:r w:rsidRPr="003C4D98">
        <w:drawing>
          <wp:inline distT="0" distB="0" distL="0" distR="0" wp14:anchorId="6182B01C" wp14:editId="1BAA445A">
            <wp:extent cx="4161790" cy="239888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09"/>
                    <a:stretch/>
                  </pic:blipFill>
                  <pic:spPr bwMode="auto">
                    <a:xfrm>
                      <a:off x="0" y="0"/>
                      <a:ext cx="4172054" cy="240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ABEC2" w14:textId="77777777" w:rsidR="00830BAE" w:rsidRDefault="00830BAE" w:rsidP="0008352B">
      <w:pPr>
        <w:jc w:val="both"/>
        <w:rPr>
          <w:rFonts w:cs="Arial"/>
          <w:i/>
          <w:color w:val="FF0000"/>
          <w:sz w:val="20"/>
          <w:szCs w:val="20"/>
        </w:rPr>
      </w:pPr>
    </w:p>
    <w:p w14:paraId="4A4F881E" w14:textId="77777777" w:rsidR="0008352B" w:rsidRPr="00B008A6" w:rsidRDefault="0008352B" w:rsidP="0008352B">
      <w:pPr>
        <w:jc w:val="both"/>
        <w:rPr>
          <w:rFonts w:cs="Arial"/>
          <w:b/>
          <w:bCs/>
          <w:i/>
          <w:color w:val="FF0000"/>
          <w:sz w:val="20"/>
          <w:szCs w:val="20"/>
        </w:rPr>
      </w:pPr>
    </w:p>
    <w:p w14:paraId="67651AAA" w14:textId="77777777" w:rsidR="0008352B" w:rsidRPr="0008352B" w:rsidRDefault="0008352B" w:rsidP="003F5234">
      <w:pPr>
        <w:keepNext/>
        <w:spacing w:after="120"/>
        <w:jc w:val="both"/>
        <w:outlineLvl w:val="0"/>
        <w:rPr>
          <w:rFonts w:cs="Arial"/>
          <w:color w:val="FF0000"/>
          <w:lang w:eastAsia="ja-JP"/>
        </w:rPr>
      </w:pPr>
    </w:p>
    <w:sectPr w:rsidR="0008352B" w:rsidRPr="0008352B" w:rsidSect="0062712D">
      <w:headerReference w:type="even" r:id="rId16"/>
      <w:headerReference w:type="default" r:id="rId17"/>
      <w:footerReference w:type="default" r:id="rId18"/>
      <w:pgSz w:w="11907" w:h="16840" w:code="9"/>
      <w:pgMar w:top="1985" w:right="1440" w:bottom="1418" w:left="1440" w:header="720" w:footer="971" w:gutter="0"/>
      <w:cols w:space="720"/>
      <w:docGrid w:linePitch="31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A43953" w14:textId="77777777" w:rsidR="008D232C" w:rsidRDefault="008D232C" w:rsidP="0044145F">
      <w:r>
        <w:separator/>
      </w:r>
    </w:p>
  </w:endnote>
  <w:endnote w:type="continuationSeparator" w:id="0">
    <w:p w14:paraId="73CEBB07" w14:textId="77777777" w:rsidR="008D232C" w:rsidRDefault="008D232C" w:rsidP="0044145F">
      <w:r>
        <w:continuationSeparator/>
      </w:r>
    </w:p>
  </w:endnote>
  <w:endnote w:type="continuationNotice" w:id="1">
    <w:p w14:paraId="1415E69F" w14:textId="77777777" w:rsidR="008D232C" w:rsidRDefault="008D23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Neue LT 65 Medium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C13AF8" w14:textId="77777777" w:rsidR="009F02E2" w:rsidRDefault="009F02E2" w:rsidP="0023712E">
    <w:pPr>
      <w:pStyle w:val="Footer"/>
      <w:spacing w:after="113"/>
      <w:rPr>
        <w:color w:val="142068" w:themeColor="text2"/>
      </w:rPr>
    </w:pPr>
    <w:r w:rsidRPr="0044145F">
      <w:tab/>
    </w:r>
    <w:r w:rsidRPr="0044145F">
      <w:rPr>
        <w:color w:val="142068" w:themeColor="text2"/>
      </w:rPr>
      <w:t>savillsim.com</w:t>
    </w:r>
  </w:p>
  <w:p w14:paraId="3BFFFB42" w14:textId="1FBC8BD3" w:rsidR="009F02E2" w:rsidRPr="002B1D14" w:rsidRDefault="007F1F3F" w:rsidP="002B1D14">
    <w:pPr>
      <w:pStyle w:val="Footer"/>
    </w:pPr>
    <w:sdt>
      <w:sdtPr>
        <w:rPr>
          <w:rFonts w:cs="Arial"/>
          <w:sz w:val="12"/>
          <w:szCs w:val="12"/>
        </w:rPr>
        <w:id w:val="21601803"/>
        <w:lock w:val="sdtContentLocked"/>
        <w:placeholder>
          <w:docPart w:val="F1C396B1EF8940EE8B59D32B84CBD13B"/>
        </w:placeholder>
        <w:showingPlcHdr/>
      </w:sdtPr>
      <w:sdtEndPr/>
      <w:sdtContent>
        <w:r w:rsidR="002B1D14" w:rsidRPr="00945F95">
          <w:rPr>
            <w:rStyle w:val="PlaceholderText"/>
            <w:rFonts w:cs="Arial"/>
            <w:sz w:val="14"/>
            <w:szCs w:val="14"/>
          </w:rPr>
          <w:t>Template owner: KP/Last update: September 2020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0"/>
      </w:rPr>
      <w:id w:val="-734008217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</w:rPr>
          <w:id w:val="-1848158707"/>
          <w:docPartObj>
            <w:docPartGallery w:val="Page Numbers (Top of Page)"/>
            <w:docPartUnique/>
          </w:docPartObj>
        </w:sdtPr>
        <w:sdtEndPr/>
        <w:sdtContent>
          <w:p w14:paraId="06322347" w14:textId="77777777" w:rsidR="00156CA2" w:rsidRDefault="00156CA2" w:rsidP="0062712D">
            <w:pPr>
              <w:pStyle w:val="Footer"/>
              <w:jc w:val="right"/>
              <w:rPr>
                <w:sz w:val="20"/>
              </w:rPr>
            </w:pPr>
          </w:p>
          <w:p w14:paraId="4C800940" w14:textId="77777777" w:rsidR="0062712D" w:rsidRDefault="0062712D" w:rsidP="0062712D">
            <w:pPr>
              <w:pStyle w:val="Footer"/>
              <w:jc w:val="right"/>
              <w:rPr>
                <w:b/>
                <w:bCs/>
                <w:sz w:val="18"/>
                <w:szCs w:val="20"/>
              </w:rPr>
            </w:pPr>
            <w:r w:rsidRPr="00F4729A">
              <w:rPr>
                <w:sz w:val="18"/>
                <w:szCs w:val="20"/>
              </w:rPr>
              <w:t xml:space="preserve">Page </w:t>
            </w:r>
            <w:r w:rsidRPr="00F4729A">
              <w:rPr>
                <w:b/>
                <w:bCs/>
                <w:sz w:val="18"/>
                <w:szCs w:val="20"/>
              </w:rPr>
              <w:fldChar w:fldCharType="begin"/>
            </w:r>
            <w:r w:rsidRPr="00F4729A">
              <w:rPr>
                <w:b/>
                <w:bCs/>
                <w:sz w:val="18"/>
                <w:szCs w:val="20"/>
              </w:rPr>
              <w:instrText xml:space="preserve"> PAGE </w:instrText>
            </w:r>
            <w:r w:rsidRPr="00F4729A">
              <w:rPr>
                <w:b/>
                <w:bCs/>
                <w:sz w:val="18"/>
                <w:szCs w:val="20"/>
              </w:rPr>
              <w:fldChar w:fldCharType="separate"/>
            </w:r>
            <w:r w:rsidR="00D75B03">
              <w:rPr>
                <w:b/>
                <w:bCs/>
                <w:noProof/>
                <w:sz w:val="18"/>
                <w:szCs w:val="20"/>
              </w:rPr>
              <w:t>6</w:t>
            </w:r>
            <w:r w:rsidRPr="00F4729A">
              <w:rPr>
                <w:b/>
                <w:bCs/>
                <w:sz w:val="18"/>
                <w:szCs w:val="20"/>
              </w:rPr>
              <w:fldChar w:fldCharType="end"/>
            </w:r>
            <w:r w:rsidRPr="00F4729A">
              <w:rPr>
                <w:sz w:val="18"/>
                <w:szCs w:val="20"/>
              </w:rPr>
              <w:t xml:space="preserve"> of </w:t>
            </w:r>
            <w:r w:rsidRPr="00F4729A">
              <w:rPr>
                <w:b/>
                <w:bCs/>
                <w:sz w:val="18"/>
                <w:szCs w:val="20"/>
              </w:rPr>
              <w:fldChar w:fldCharType="begin"/>
            </w:r>
            <w:r w:rsidRPr="00F4729A">
              <w:rPr>
                <w:b/>
                <w:bCs/>
                <w:sz w:val="18"/>
                <w:szCs w:val="20"/>
              </w:rPr>
              <w:instrText xml:space="preserve"> NUMPAGES  </w:instrText>
            </w:r>
            <w:r w:rsidRPr="00F4729A">
              <w:rPr>
                <w:b/>
                <w:bCs/>
                <w:sz w:val="18"/>
                <w:szCs w:val="20"/>
              </w:rPr>
              <w:fldChar w:fldCharType="separate"/>
            </w:r>
            <w:r w:rsidR="00D75B03">
              <w:rPr>
                <w:b/>
                <w:bCs/>
                <w:noProof/>
                <w:sz w:val="18"/>
                <w:szCs w:val="20"/>
              </w:rPr>
              <w:t>9</w:t>
            </w:r>
            <w:r w:rsidRPr="00F4729A">
              <w:rPr>
                <w:b/>
                <w:bCs/>
                <w:sz w:val="18"/>
                <w:szCs w:val="20"/>
              </w:rPr>
              <w:fldChar w:fldCharType="end"/>
            </w:r>
          </w:p>
          <w:p w14:paraId="66EFA767" w14:textId="4067A2B1" w:rsidR="009F02E2" w:rsidRPr="002B1D14" w:rsidRDefault="007F1F3F" w:rsidP="002B1D14">
            <w:pPr>
              <w:pStyle w:val="Footer"/>
            </w:pPr>
            <w:sdt>
              <w:sdtPr>
                <w:rPr>
                  <w:rFonts w:cs="Arial"/>
                  <w:sz w:val="12"/>
                  <w:szCs w:val="12"/>
                </w:rPr>
                <w:id w:val="147172025"/>
                <w:lock w:val="sdtContentLocked"/>
                <w:placeholder>
                  <w:docPart w:val="E3498A0CFCC34DCB8FAE327CA1ADD6D5"/>
                </w:placeholder>
                <w:showingPlcHdr/>
              </w:sdtPr>
              <w:sdtEndPr/>
              <w:sdtContent>
                <w:r w:rsidR="003826F1" w:rsidRPr="00945F95">
                  <w:rPr>
                    <w:rStyle w:val="PlaceholderText"/>
                    <w:rFonts w:cs="Arial"/>
                    <w:sz w:val="14"/>
                    <w:szCs w:val="14"/>
                  </w:rPr>
                  <w:t>Template owner: KP/Last update: September 2020</w:t>
                </w:r>
              </w:sdtContent>
            </w:sdt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C3F8CD" w14:textId="77777777" w:rsidR="008D232C" w:rsidRDefault="008D232C" w:rsidP="0044145F">
      <w:r>
        <w:separator/>
      </w:r>
    </w:p>
  </w:footnote>
  <w:footnote w:type="continuationSeparator" w:id="0">
    <w:p w14:paraId="7EAA4A74" w14:textId="77777777" w:rsidR="008D232C" w:rsidRDefault="008D232C" w:rsidP="0044145F">
      <w:r>
        <w:continuationSeparator/>
      </w:r>
    </w:p>
  </w:footnote>
  <w:footnote w:type="continuationNotice" w:id="1">
    <w:p w14:paraId="587BE782" w14:textId="77777777" w:rsidR="008D232C" w:rsidRDefault="008D232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00"/>
      <w:gridCol w:w="5188"/>
    </w:tblGrid>
    <w:tr w:rsidR="008A4CEF" w14:paraId="594DD39C" w14:textId="77777777" w:rsidTr="008A4CEF">
      <w:tc>
        <w:tcPr>
          <w:tcW w:w="5352" w:type="dxa"/>
        </w:tcPr>
        <w:p w14:paraId="661F17F1" w14:textId="77777777" w:rsidR="008A4CEF" w:rsidRDefault="008A4CEF" w:rsidP="008A4CEF">
          <w:pPr>
            <w:pStyle w:val="BodyText"/>
            <w:rPr>
              <w:sz w:val="32"/>
            </w:rPr>
          </w:pPr>
          <w:r>
            <w:rPr>
              <w:noProof/>
            </w:rPr>
            <w:drawing>
              <wp:anchor distT="0" distB="0" distL="114300" distR="114300" simplePos="0" relativeHeight="251658241" behindDoc="0" locked="0" layoutInCell="1" allowOverlap="1" wp14:anchorId="41A55A4F" wp14:editId="7F865427">
                <wp:simplePos x="0" y="0"/>
                <wp:positionH relativeFrom="column">
                  <wp:posOffset>-1641</wp:posOffset>
                </wp:positionH>
                <wp:positionV relativeFrom="paragraph">
                  <wp:posOffset>-588238</wp:posOffset>
                </wp:positionV>
                <wp:extent cx="2216785" cy="730885"/>
                <wp:effectExtent l="0" t="0" r="0" b="0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avills_IM_CMYK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6785" cy="730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52" w:type="dxa"/>
        </w:tcPr>
        <w:p w14:paraId="51E67322" w14:textId="77777777" w:rsidR="008A4CEF" w:rsidRDefault="008A4CEF" w:rsidP="008A4CEF">
          <w:pPr>
            <w:pStyle w:val="BodyText"/>
            <w:rPr>
              <w:sz w:val="32"/>
            </w:rPr>
          </w:pPr>
        </w:p>
        <w:p w14:paraId="10DBBF7D" w14:textId="77777777" w:rsidR="008A4CEF" w:rsidRPr="00893A25" w:rsidRDefault="008A4CEF" w:rsidP="008A4CEF">
          <w:pPr>
            <w:pStyle w:val="BodyText"/>
            <w:spacing w:line="240" w:lineRule="auto"/>
            <w:rPr>
              <w:sz w:val="34"/>
              <w:szCs w:val="34"/>
            </w:rPr>
          </w:pPr>
        </w:p>
      </w:tc>
    </w:tr>
  </w:tbl>
  <w:p w14:paraId="19BBE02A" w14:textId="77777777" w:rsidR="008A4CEF" w:rsidRDefault="008A4CEF" w:rsidP="008A4CEF">
    <w:pPr>
      <w:pStyle w:val="Header"/>
      <w:tabs>
        <w:tab w:val="clear" w:pos="4680"/>
        <w:tab w:val="clear" w:pos="9360"/>
      </w:tabs>
    </w:pPr>
  </w:p>
  <w:p w14:paraId="57937297" w14:textId="77777777" w:rsidR="008A4CEF" w:rsidRDefault="008A4CEF" w:rsidP="008A4CEF">
    <w:pPr>
      <w:pStyle w:val="Header"/>
      <w:tabs>
        <w:tab w:val="clear" w:pos="4680"/>
        <w:tab w:val="clear" w:pos="9360"/>
      </w:tabs>
    </w:pPr>
  </w:p>
  <w:p w14:paraId="66A25782" w14:textId="6EA58F41" w:rsidR="009F02E2" w:rsidRPr="00EC2A74" w:rsidRDefault="00192735" w:rsidP="00EC2A74">
    <w:pPr>
      <w:pStyle w:val="BodyText"/>
      <w:spacing w:line="240" w:lineRule="auto"/>
      <w:rPr>
        <w:sz w:val="36"/>
        <w:szCs w:val="34"/>
      </w:rPr>
    </w:pPr>
    <w:r>
      <w:rPr>
        <w:sz w:val="36"/>
        <w:szCs w:val="34"/>
      </w:rPr>
      <w:t>Investment</w:t>
    </w:r>
    <w:r w:rsidRPr="009005BD">
      <w:rPr>
        <w:sz w:val="36"/>
        <w:szCs w:val="34"/>
      </w:rPr>
      <w:t xml:space="preserve"> </w:t>
    </w:r>
    <w:r w:rsidR="008A4CEF" w:rsidRPr="009005BD">
      <w:rPr>
        <w:sz w:val="36"/>
        <w:szCs w:val="34"/>
      </w:rPr>
      <w:t>Advisory Committee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7CF774" w14:textId="77777777" w:rsidR="009F02E2" w:rsidRDefault="009F02E2"/>
  <w:p w14:paraId="452DD915" w14:textId="77777777" w:rsidR="009F02E2" w:rsidRDefault="009F02E2"/>
  <w:p w14:paraId="0AEDE076" w14:textId="77777777" w:rsidR="009F02E2" w:rsidRDefault="009F02E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350" w:type="dxa"/>
      <w:tblBorders>
        <w:top w:val="single" w:sz="36" w:space="0" w:color="0A1450"/>
        <w:left w:val="none" w:sz="0" w:space="0" w:color="auto"/>
        <w:bottom w:val="single" w:sz="18" w:space="0" w:color="00AFE6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04"/>
      <w:gridCol w:w="4346"/>
    </w:tblGrid>
    <w:tr w:rsidR="00EC2A74" w:rsidRPr="00EC2A74" w14:paraId="75371753" w14:textId="77777777" w:rsidTr="00347D9A">
      <w:tc>
        <w:tcPr>
          <w:tcW w:w="5004" w:type="dxa"/>
        </w:tcPr>
        <w:p w14:paraId="49F72599" w14:textId="77777777" w:rsidR="0062712D" w:rsidRDefault="0062712D" w:rsidP="0062712D">
          <w:pPr>
            <w:pStyle w:val="Header"/>
            <w:tabs>
              <w:tab w:val="right" w:pos="9072"/>
            </w:tabs>
            <w:ind w:left="142"/>
            <w:rPr>
              <w:rFonts w:cs="Arial"/>
            </w:rPr>
          </w:pPr>
          <w:r w:rsidRPr="00536573"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5F5749A3" wp14:editId="32B0DA97">
                <wp:simplePos x="0" y="0"/>
                <wp:positionH relativeFrom="column">
                  <wp:posOffset>-66878</wp:posOffset>
                </wp:positionH>
                <wp:positionV relativeFrom="paragraph">
                  <wp:posOffset>122663</wp:posOffset>
                </wp:positionV>
                <wp:extent cx="1419225" cy="466725"/>
                <wp:effectExtent l="0" t="0" r="0" b="0"/>
                <wp:wrapNone/>
                <wp:docPr id="4" name="Picture 4" descr="C:\Users\anrussell\AppData\Local\Microsoft\Windows\Temporary Internet Files\Content.Outlook\8LQI4U3D\Savills_IM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nrussell\AppData\Local\Microsoft\Windows\Temporary Internet Files\Content.Outlook\8LQI4U3D\Savills_IM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9225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536573">
            <w:rPr>
              <w:rFonts w:cs="Arial"/>
            </w:rPr>
            <w:tab/>
          </w:r>
        </w:p>
      </w:tc>
      <w:tc>
        <w:tcPr>
          <w:tcW w:w="4346" w:type="dxa"/>
        </w:tcPr>
        <w:p w14:paraId="296A4263" w14:textId="77777777" w:rsidR="0062712D" w:rsidRPr="00EC2A74" w:rsidRDefault="0062712D" w:rsidP="0062712D">
          <w:pPr>
            <w:pStyle w:val="Header"/>
            <w:tabs>
              <w:tab w:val="right" w:pos="9072"/>
            </w:tabs>
            <w:jc w:val="right"/>
            <w:rPr>
              <w:rFonts w:cs="Arial"/>
            </w:rPr>
          </w:pPr>
        </w:p>
        <w:p w14:paraId="1DE51FE3" w14:textId="2AA5DC6D" w:rsidR="00A26D87" w:rsidRDefault="00A3775D" w:rsidP="00EC2A74">
          <w:pPr>
            <w:pStyle w:val="Header"/>
            <w:tabs>
              <w:tab w:val="right" w:pos="9072"/>
            </w:tabs>
            <w:wordWrap w:val="0"/>
            <w:jc w:val="right"/>
            <w:rPr>
              <w:rFonts w:cs="Arial"/>
            </w:rPr>
          </w:pPr>
          <w:r>
            <w:rPr>
              <w:rFonts w:cs="Arial"/>
            </w:rPr>
            <w:t>Stage 3</w:t>
          </w:r>
          <w:r w:rsidR="00EC2A74" w:rsidRPr="00EC2A74">
            <w:rPr>
              <w:rFonts w:cs="Arial"/>
            </w:rPr>
            <w:t xml:space="preserve"> </w:t>
          </w:r>
          <w:r w:rsidR="004B167B">
            <w:rPr>
              <w:rFonts w:cs="Arial"/>
            </w:rPr>
            <w:t>update</w:t>
          </w:r>
          <w:r w:rsidR="00EC2A74" w:rsidRPr="00EC2A74">
            <w:rPr>
              <w:rFonts w:cs="Arial"/>
            </w:rPr>
            <w:t>:</w:t>
          </w:r>
        </w:p>
        <w:p w14:paraId="450B9921" w14:textId="2449505A" w:rsidR="0062712D" w:rsidRPr="00EC2A74" w:rsidRDefault="004622B0" w:rsidP="0062712D">
          <w:pPr>
            <w:pStyle w:val="Header"/>
            <w:tabs>
              <w:tab w:val="right" w:pos="9072"/>
            </w:tabs>
            <w:jc w:val="right"/>
            <w:rPr>
              <w:rFonts w:cs="Arial"/>
            </w:rPr>
          </w:pPr>
          <w:r w:rsidRPr="004622B0">
            <w:rPr>
              <w:rFonts w:cs="Arial"/>
            </w:rPr>
            <w:t>Project Saint, Japan</w:t>
          </w:r>
        </w:p>
        <w:p w14:paraId="68FE60D3" w14:textId="0473B80A" w:rsidR="0062712D" w:rsidRPr="00EC2A74" w:rsidRDefault="004622B0" w:rsidP="00EC2A74">
          <w:pPr>
            <w:pStyle w:val="Header"/>
            <w:tabs>
              <w:tab w:val="right" w:pos="9072"/>
            </w:tabs>
            <w:wordWrap w:val="0"/>
            <w:jc w:val="right"/>
            <w:rPr>
              <w:rFonts w:cs="Arial"/>
            </w:rPr>
          </w:pPr>
          <w:r>
            <w:rPr>
              <w:rFonts w:cs="Arial"/>
            </w:rPr>
            <w:t>27</w:t>
          </w:r>
          <w:r w:rsidR="00EC2A74" w:rsidRPr="00634EA8">
            <w:rPr>
              <w:rFonts w:cs="Arial"/>
            </w:rPr>
            <w:t>/</w:t>
          </w:r>
          <w:r>
            <w:rPr>
              <w:rFonts w:cs="Arial"/>
            </w:rPr>
            <w:t>3</w:t>
          </w:r>
          <w:r w:rsidR="00EC2A74" w:rsidRPr="00634EA8">
            <w:rPr>
              <w:rFonts w:cs="Arial"/>
            </w:rPr>
            <w:t>/</w:t>
          </w:r>
          <w:r w:rsidR="0043790B" w:rsidRPr="00634EA8">
            <w:rPr>
              <w:rFonts w:cs="Arial"/>
            </w:rPr>
            <w:t>202</w:t>
          </w:r>
          <w:r>
            <w:rPr>
              <w:rFonts w:cs="Arial"/>
            </w:rPr>
            <w:t>4</w:t>
          </w:r>
          <w:r w:rsidR="0043790B" w:rsidRPr="00634EA8">
            <w:rPr>
              <w:rFonts w:cs="Arial"/>
            </w:rPr>
            <w:t xml:space="preserve"> </w:t>
          </w:r>
          <w:r w:rsidR="00EC2A74" w:rsidRPr="00634EA8">
            <w:rPr>
              <w:rFonts w:cs="Arial"/>
            </w:rPr>
            <w:t>v.1</w:t>
          </w:r>
        </w:p>
        <w:p w14:paraId="01D576B1" w14:textId="77777777" w:rsidR="0062712D" w:rsidRPr="00EC2A74" w:rsidRDefault="0062712D" w:rsidP="0062712D">
          <w:pPr>
            <w:pStyle w:val="Header"/>
            <w:tabs>
              <w:tab w:val="right" w:pos="9072"/>
            </w:tabs>
            <w:rPr>
              <w:rFonts w:cs="Arial"/>
            </w:rPr>
          </w:pPr>
        </w:p>
      </w:tc>
    </w:tr>
  </w:tbl>
  <w:p w14:paraId="5D86BFBE" w14:textId="77777777" w:rsidR="0062712D" w:rsidRPr="00536573" w:rsidRDefault="0062712D" w:rsidP="0062712D">
    <w:pPr>
      <w:pStyle w:val="Header"/>
      <w:tabs>
        <w:tab w:val="right" w:pos="9072"/>
      </w:tabs>
      <w:rPr>
        <w:rFonts w:cs="Arial"/>
        <w:b/>
        <w:bCs/>
        <w:sz w:val="20"/>
        <w:szCs w:val="20"/>
      </w:rPr>
    </w:pPr>
    <w:r w:rsidRPr="00536573">
      <w:rPr>
        <w:rFonts w:cs="Arial"/>
        <w:sz w:val="20"/>
        <w:szCs w:val="20"/>
      </w:rPr>
      <w:tab/>
    </w:r>
  </w:p>
  <w:p w14:paraId="1576BEDB" w14:textId="77777777" w:rsidR="009F02E2" w:rsidRDefault="009F02E2">
    <w:pPr>
      <w:pStyle w:val="Header"/>
      <w:tabs>
        <w:tab w:val="right" w:pos="9072"/>
      </w:tabs>
      <w:rPr>
        <w:rFonts w:cs="Arial"/>
        <w:b/>
        <w:bCs/>
      </w:rPr>
    </w:pPr>
    <w:r>
      <w:rPr>
        <w:rFonts w:cs="Arial"/>
      </w:rPr>
      <w:tab/>
    </w:r>
    <w:r>
      <w:rPr>
        <w:rFonts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F1814"/>
    <w:multiLevelType w:val="hybridMultilevel"/>
    <w:tmpl w:val="C7A21F44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F5132C"/>
    <w:multiLevelType w:val="multilevel"/>
    <w:tmpl w:val="39F608F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0741500"/>
    <w:multiLevelType w:val="multilevel"/>
    <w:tmpl w:val="E3CCA8E2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0EB4560"/>
    <w:multiLevelType w:val="multilevel"/>
    <w:tmpl w:val="E98C2436"/>
    <w:lvl w:ilvl="0">
      <w:start w:val="9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color w:val="1A206D"/>
        <w:sz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2"/>
        <w:szCs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 w:val="0"/>
        <w:i w:val="0"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4A026C86"/>
    <w:multiLevelType w:val="hybridMultilevel"/>
    <w:tmpl w:val="DC346862"/>
    <w:lvl w:ilvl="0" w:tplc="AA88946E">
      <w:start w:val="1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FD53521"/>
    <w:multiLevelType w:val="hybridMultilevel"/>
    <w:tmpl w:val="E7B22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E30F96"/>
    <w:multiLevelType w:val="hybridMultilevel"/>
    <w:tmpl w:val="5F3E68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CA5013F4">
      <w:numFmt w:val="bullet"/>
      <w:lvlText w:val="-"/>
      <w:lvlJc w:val="left"/>
      <w:pPr>
        <w:ind w:left="780" w:hanging="360"/>
      </w:pPr>
      <w:rPr>
        <w:rFonts w:ascii="Arial" w:eastAsiaTheme="minorEastAsia" w:hAnsi="Arial" w:cs="Arial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8ED0B55"/>
    <w:multiLevelType w:val="hybridMultilevel"/>
    <w:tmpl w:val="FF88959E"/>
    <w:lvl w:ilvl="0" w:tplc="C57823EA">
      <w:start w:val="1"/>
      <w:numFmt w:val="lowerRoman"/>
      <w:lvlText w:val="(%1)"/>
      <w:lvlJc w:val="left"/>
      <w:pPr>
        <w:ind w:left="907" w:hanging="476"/>
      </w:pPr>
      <w:rPr>
        <w:rFonts w:hint="default"/>
      </w:rPr>
    </w:lvl>
    <w:lvl w:ilvl="1" w:tplc="08090003" w:tentative="1">
      <w:start w:val="1"/>
      <w:numFmt w:val="lowerLetter"/>
      <w:lvlText w:val="%2."/>
      <w:lvlJc w:val="left"/>
      <w:pPr>
        <w:ind w:left="1440" w:hanging="360"/>
      </w:pPr>
    </w:lvl>
    <w:lvl w:ilvl="2" w:tplc="08090005" w:tentative="1">
      <w:start w:val="1"/>
      <w:numFmt w:val="lowerRoman"/>
      <w:lvlText w:val="%3."/>
      <w:lvlJc w:val="right"/>
      <w:pPr>
        <w:ind w:left="2160" w:hanging="180"/>
      </w:pPr>
    </w:lvl>
    <w:lvl w:ilvl="3" w:tplc="08090001" w:tentative="1">
      <w:start w:val="1"/>
      <w:numFmt w:val="decimal"/>
      <w:lvlText w:val="%4."/>
      <w:lvlJc w:val="left"/>
      <w:pPr>
        <w:ind w:left="2880" w:hanging="360"/>
      </w:pPr>
    </w:lvl>
    <w:lvl w:ilvl="4" w:tplc="08090003" w:tentative="1">
      <w:start w:val="1"/>
      <w:numFmt w:val="lowerLetter"/>
      <w:lvlText w:val="%5."/>
      <w:lvlJc w:val="left"/>
      <w:pPr>
        <w:ind w:left="3600" w:hanging="360"/>
      </w:pPr>
    </w:lvl>
    <w:lvl w:ilvl="5" w:tplc="08090005" w:tentative="1">
      <w:start w:val="1"/>
      <w:numFmt w:val="lowerRoman"/>
      <w:lvlText w:val="%6."/>
      <w:lvlJc w:val="right"/>
      <w:pPr>
        <w:ind w:left="4320" w:hanging="180"/>
      </w:pPr>
    </w:lvl>
    <w:lvl w:ilvl="6" w:tplc="08090001" w:tentative="1">
      <w:start w:val="1"/>
      <w:numFmt w:val="decimal"/>
      <w:lvlText w:val="%7."/>
      <w:lvlJc w:val="left"/>
      <w:pPr>
        <w:ind w:left="5040" w:hanging="360"/>
      </w:pPr>
    </w:lvl>
    <w:lvl w:ilvl="7" w:tplc="08090003" w:tentative="1">
      <w:start w:val="1"/>
      <w:numFmt w:val="lowerLetter"/>
      <w:lvlText w:val="%8."/>
      <w:lvlJc w:val="left"/>
      <w:pPr>
        <w:ind w:left="5760" w:hanging="360"/>
      </w:pPr>
    </w:lvl>
    <w:lvl w:ilvl="8" w:tplc="08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5941C9"/>
    <w:multiLevelType w:val="hybridMultilevel"/>
    <w:tmpl w:val="E2240D8A"/>
    <w:lvl w:ilvl="0" w:tplc="0809000B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AB0D83"/>
    <w:multiLevelType w:val="hybridMultilevel"/>
    <w:tmpl w:val="F8403FC2"/>
    <w:lvl w:ilvl="0" w:tplc="72AEF9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AC14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0C4D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0655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66D3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5244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A64C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806A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4612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C760C41"/>
    <w:multiLevelType w:val="hybridMultilevel"/>
    <w:tmpl w:val="7B3C4BA6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4659746">
    <w:abstractNumId w:val="3"/>
  </w:num>
  <w:num w:numId="2" w16cid:durableId="2041079051">
    <w:abstractNumId w:val="10"/>
  </w:num>
  <w:num w:numId="3" w16cid:durableId="583729289">
    <w:abstractNumId w:val="0"/>
  </w:num>
  <w:num w:numId="4" w16cid:durableId="526673625">
    <w:abstractNumId w:val="3"/>
  </w:num>
  <w:num w:numId="5" w16cid:durableId="636449604">
    <w:abstractNumId w:val="3"/>
  </w:num>
  <w:num w:numId="6" w16cid:durableId="2093043252">
    <w:abstractNumId w:val="3"/>
  </w:num>
  <w:num w:numId="7" w16cid:durableId="1437746665">
    <w:abstractNumId w:val="1"/>
  </w:num>
  <w:num w:numId="8" w16cid:durableId="1865049128">
    <w:abstractNumId w:val="2"/>
  </w:num>
  <w:num w:numId="9" w16cid:durableId="1595895880">
    <w:abstractNumId w:val="3"/>
  </w:num>
  <w:num w:numId="10" w16cid:durableId="783111383">
    <w:abstractNumId w:val="3"/>
  </w:num>
  <w:num w:numId="11" w16cid:durableId="1928691172">
    <w:abstractNumId w:val="3"/>
  </w:num>
  <w:num w:numId="12" w16cid:durableId="725371973">
    <w:abstractNumId w:val="3"/>
  </w:num>
  <w:num w:numId="13" w16cid:durableId="461119985">
    <w:abstractNumId w:val="3"/>
  </w:num>
  <w:num w:numId="14" w16cid:durableId="1460957126">
    <w:abstractNumId w:val="3"/>
  </w:num>
  <w:num w:numId="15" w16cid:durableId="1084375430">
    <w:abstractNumId w:val="3"/>
  </w:num>
  <w:num w:numId="16" w16cid:durableId="535045035">
    <w:abstractNumId w:val="3"/>
  </w:num>
  <w:num w:numId="17" w16cid:durableId="1467235067">
    <w:abstractNumId w:val="3"/>
  </w:num>
  <w:num w:numId="18" w16cid:durableId="1088769183">
    <w:abstractNumId w:val="3"/>
  </w:num>
  <w:num w:numId="19" w16cid:durableId="762142982">
    <w:abstractNumId w:val="3"/>
  </w:num>
  <w:num w:numId="20" w16cid:durableId="528757098">
    <w:abstractNumId w:val="3"/>
  </w:num>
  <w:num w:numId="21" w16cid:durableId="433746973">
    <w:abstractNumId w:val="3"/>
  </w:num>
  <w:num w:numId="22" w16cid:durableId="37290987">
    <w:abstractNumId w:val="3"/>
  </w:num>
  <w:num w:numId="23" w16cid:durableId="1862818667">
    <w:abstractNumId w:val="3"/>
  </w:num>
  <w:num w:numId="24" w16cid:durableId="1291473751">
    <w:abstractNumId w:val="6"/>
  </w:num>
  <w:num w:numId="25" w16cid:durableId="876311197">
    <w:abstractNumId w:val="4"/>
  </w:num>
  <w:num w:numId="26" w16cid:durableId="1281911798">
    <w:abstractNumId w:val="8"/>
  </w:num>
  <w:num w:numId="27" w16cid:durableId="1888832360">
    <w:abstractNumId w:val="7"/>
  </w:num>
  <w:num w:numId="28" w16cid:durableId="1289360876">
    <w:abstractNumId w:val="6"/>
  </w:num>
  <w:num w:numId="29" w16cid:durableId="776562479">
    <w:abstractNumId w:val="5"/>
  </w:num>
  <w:num w:numId="30" w16cid:durableId="770780244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616"/>
    <w:rsid w:val="000001A6"/>
    <w:rsid w:val="0000213F"/>
    <w:rsid w:val="00005339"/>
    <w:rsid w:val="00006899"/>
    <w:rsid w:val="00013079"/>
    <w:rsid w:val="000171A1"/>
    <w:rsid w:val="000247E6"/>
    <w:rsid w:val="00033225"/>
    <w:rsid w:val="000346B8"/>
    <w:rsid w:val="00046131"/>
    <w:rsid w:val="00047126"/>
    <w:rsid w:val="0004784F"/>
    <w:rsid w:val="0005001F"/>
    <w:rsid w:val="00050D36"/>
    <w:rsid w:val="0005757E"/>
    <w:rsid w:val="000608EE"/>
    <w:rsid w:val="00065CFD"/>
    <w:rsid w:val="00067A35"/>
    <w:rsid w:val="0008352B"/>
    <w:rsid w:val="000867B7"/>
    <w:rsid w:val="000908C6"/>
    <w:rsid w:val="000B07A5"/>
    <w:rsid w:val="000C02B0"/>
    <w:rsid w:val="000C601F"/>
    <w:rsid w:val="000D309C"/>
    <w:rsid w:val="000D5286"/>
    <w:rsid w:val="000E4985"/>
    <w:rsid w:val="000E66B0"/>
    <w:rsid w:val="000E7AEE"/>
    <w:rsid w:val="000F0912"/>
    <w:rsid w:val="000F4E52"/>
    <w:rsid w:val="000F64D8"/>
    <w:rsid w:val="00102590"/>
    <w:rsid w:val="00113EB6"/>
    <w:rsid w:val="00116A82"/>
    <w:rsid w:val="00125AEE"/>
    <w:rsid w:val="00133412"/>
    <w:rsid w:val="0013363C"/>
    <w:rsid w:val="00142FFD"/>
    <w:rsid w:val="0014303D"/>
    <w:rsid w:val="00152550"/>
    <w:rsid w:val="00153C51"/>
    <w:rsid w:val="00156CA2"/>
    <w:rsid w:val="001630ED"/>
    <w:rsid w:val="001636A9"/>
    <w:rsid w:val="00173579"/>
    <w:rsid w:val="00176878"/>
    <w:rsid w:val="00184EF0"/>
    <w:rsid w:val="001876CF"/>
    <w:rsid w:val="0019089B"/>
    <w:rsid w:val="00192735"/>
    <w:rsid w:val="00193943"/>
    <w:rsid w:val="00196525"/>
    <w:rsid w:val="001A2FD3"/>
    <w:rsid w:val="001A31B0"/>
    <w:rsid w:val="001A5910"/>
    <w:rsid w:val="001B2E0B"/>
    <w:rsid w:val="001C3CCC"/>
    <w:rsid w:val="001C6472"/>
    <w:rsid w:val="001D03F6"/>
    <w:rsid w:val="001D2F8D"/>
    <w:rsid w:val="001D79B9"/>
    <w:rsid w:val="001F381E"/>
    <w:rsid w:val="001F5481"/>
    <w:rsid w:val="001F5DC0"/>
    <w:rsid w:val="00200CB6"/>
    <w:rsid w:val="00204503"/>
    <w:rsid w:val="00211DEE"/>
    <w:rsid w:val="002134F4"/>
    <w:rsid w:val="00217046"/>
    <w:rsid w:val="00220CF8"/>
    <w:rsid w:val="00225178"/>
    <w:rsid w:val="0022611B"/>
    <w:rsid w:val="00227E70"/>
    <w:rsid w:val="0023712E"/>
    <w:rsid w:val="00241F34"/>
    <w:rsid w:val="00243F77"/>
    <w:rsid w:val="0024552E"/>
    <w:rsid w:val="00246369"/>
    <w:rsid w:val="00251171"/>
    <w:rsid w:val="002515E3"/>
    <w:rsid w:val="00253322"/>
    <w:rsid w:val="002759F5"/>
    <w:rsid w:val="00280B76"/>
    <w:rsid w:val="00280E31"/>
    <w:rsid w:val="00283C98"/>
    <w:rsid w:val="002842D5"/>
    <w:rsid w:val="0028646F"/>
    <w:rsid w:val="00297F31"/>
    <w:rsid w:val="002A189C"/>
    <w:rsid w:val="002B1D14"/>
    <w:rsid w:val="002B614F"/>
    <w:rsid w:val="002D5A68"/>
    <w:rsid w:val="002D68B9"/>
    <w:rsid w:val="002E6FAD"/>
    <w:rsid w:val="002F21B0"/>
    <w:rsid w:val="002F5BB6"/>
    <w:rsid w:val="003028A2"/>
    <w:rsid w:val="00303EB2"/>
    <w:rsid w:val="00307121"/>
    <w:rsid w:val="003260F6"/>
    <w:rsid w:val="00332DCF"/>
    <w:rsid w:val="00335D67"/>
    <w:rsid w:val="00337DB7"/>
    <w:rsid w:val="00343D7C"/>
    <w:rsid w:val="0034408F"/>
    <w:rsid w:val="00345844"/>
    <w:rsid w:val="00347D9A"/>
    <w:rsid w:val="00347F67"/>
    <w:rsid w:val="0035434C"/>
    <w:rsid w:val="00354FDA"/>
    <w:rsid w:val="00357FDE"/>
    <w:rsid w:val="003605AF"/>
    <w:rsid w:val="003706C1"/>
    <w:rsid w:val="003729B3"/>
    <w:rsid w:val="00374125"/>
    <w:rsid w:val="00374F53"/>
    <w:rsid w:val="003826F1"/>
    <w:rsid w:val="003832F3"/>
    <w:rsid w:val="00385001"/>
    <w:rsid w:val="00387E12"/>
    <w:rsid w:val="0039273B"/>
    <w:rsid w:val="003964CB"/>
    <w:rsid w:val="0039787D"/>
    <w:rsid w:val="003A1FAD"/>
    <w:rsid w:val="003A2F4E"/>
    <w:rsid w:val="003A3F84"/>
    <w:rsid w:val="003A70A9"/>
    <w:rsid w:val="003B03EB"/>
    <w:rsid w:val="003B3F45"/>
    <w:rsid w:val="003B691E"/>
    <w:rsid w:val="003C0907"/>
    <w:rsid w:val="003C330F"/>
    <w:rsid w:val="003C4D98"/>
    <w:rsid w:val="003D37BF"/>
    <w:rsid w:val="003D56DC"/>
    <w:rsid w:val="003D6446"/>
    <w:rsid w:val="003D677E"/>
    <w:rsid w:val="003D7B3E"/>
    <w:rsid w:val="003E193B"/>
    <w:rsid w:val="003E2293"/>
    <w:rsid w:val="003E554F"/>
    <w:rsid w:val="003E6369"/>
    <w:rsid w:val="003F09BD"/>
    <w:rsid w:val="003F160A"/>
    <w:rsid w:val="003F2F2D"/>
    <w:rsid w:val="003F5234"/>
    <w:rsid w:val="003F58E9"/>
    <w:rsid w:val="00404C7E"/>
    <w:rsid w:val="0040552F"/>
    <w:rsid w:val="0041023E"/>
    <w:rsid w:val="0041324A"/>
    <w:rsid w:val="0041422E"/>
    <w:rsid w:val="00422063"/>
    <w:rsid w:val="00435869"/>
    <w:rsid w:val="0043790B"/>
    <w:rsid w:val="0044145F"/>
    <w:rsid w:val="00441954"/>
    <w:rsid w:val="00441A7A"/>
    <w:rsid w:val="00456901"/>
    <w:rsid w:val="00457748"/>
    <w:rsid w:val="00461C98"/>
    <w:rsid w:val="004622B0"/>
    <w:rsid w:val="0046419A"/>
    <w:rsid w:val="004654B4"/>
    <w:rsid w:val="004670B8"/>
    <w:rsid w:val="00470CC3"/>
    <w:rsid w:val="0047136A"/>
    <w:rsid w:val="00480692"/>
    <w:rsid w:val="004841C3"/>
    <w:rsid w:val="00487CDC"/>
    <w:rsid w:val="0049552A"/>
    <w:rsid w:val="004A1764"/>
    <w:rsid w:val="004A19A2"/>
    <w:rsid w:val="004A2F5C"/>
    <w:rsid w:val="004A3BF7"/>
    <w:rsid w:val="004B14CD"/>
    <w:rsid w:val="004B167B"/>
    <w:rsid w:val="004B267D"/>
    <w:rsid w:val="004B422A"/>
    <w:rsid w:val="004B77F7"/>
    <w:rsid w:val="004B7EB1"/>
    <w:rsid w:val="004C29A1"/>
    <w:rsid w:val="004C2A31"/>
    <w:rsid w:val="004C385D"/>
    <w:rsid w:val="004D5ECD"/>
    <w:rsid w:val="004E18AC"/>
    <w:rsid w:val="004E2EEB"/>
    <w:rsid w:val="004F464B"/>
    <w:rsid w:val="00501D2F"/>
    <w:rsid w:val="0050424A"/>
    <w:rsid w:val="00515528"/>
    <w:rsid w:val="00515616"/>
    <w:rsid w:val="00521CE8"/>
    <w:rsid w:val="00525A76"/>
    <w:rsid w:val="005274D4"/>
    <w:rsid w:val="00527ACF"/>
    <w:rsid w:val="00530A1B"/>
    <w:rsid w:val="00534FB9"/>
    <w:rsid w:val="00535D6B"/>
    <w:rsid w:val="0054259D"/>
    <w:rsid w:val="00547383"/>
    <w:rsid w:val="00553965"/>
    <w:rsid w:val="00573ED5"/>
    <w:rsid w:val="00575C86"/>
    <w:rsid w:val="00582E66"/>
    <w:rsid w:val="00584D2B"/>
    <w:rsid w:val="0058691F"/>
    <w:rsid w:val="005902E1"/>
    <w:rsid w:val="00597E50"/>
    <w:rsid w:val="005B21B0"/>
    <w:rsid w:val="005C18E8"/>
    <w:rsid w:val="005C1BF9"/>
    <w:rsid w:val="005C519D"/>
    <w:rsid w:val="005C79BF"/>
    <w:rsid w:val="005E1FD0"/>
    <w:rsid w:val="005E2508"/>
    <w:rsid w:val="005E4A2F"/>
    <w:rsid w:val="00601618"/>
    <w:rsid w:val="00604FBE"/>
    <w:rsid w:val="0060611A"/>
    <w:rsid w:val="00610C40"/>
    <w:rsid w:val="00610EC0"/>
    <w:rsid w:val="0061109C"/>
    <w:rsid w:val="00612AB6"/>
    <w:rsid w:val="0061337D"/>
    <w:rsid w:val="00614934"/>
    <w:rsid w:val="0062313D"/>
    <w:rsid w:val="00623AC7"/>
    <w:rsid w:val="006247B6"/>
    <w:rsid w:val="00625CBD"/>
    <w:rsid w:val="0062712D"/>
    <w:rsid w:val="006318D8"/>
    <w:rsid w:val="006327E6"/>
    <w:rsid w:val="00634EA8"/>
    <w:rsid w:val="00651807"/>
    <w:rsid w:val="00652FEA"/>
    <w:rsid w:val="006563E1"/>
    <w:rsid w:val="00656F58"/>
    <w:rsid w:val="0066693B"/>
    <w:rsid w:val="006677EB"/>
    <w:rsid w:val="00672BD6"/>
    <w:rsid w:val="0067674F"/>
    <w:rsid w:val="00681C71"/>
    <w:rsid w:val="00684739"/>
    <w:rsid w:val="00685C8E"/>
    <w:rsid w:val="00686C33"/>
    <w:rsid w:val="006A0FA8"/>
    <w:rsid w:val="006A12BC"/>
    <w:rsid w:val="006A1D35"/>
    <w:rsid w:val="006A2EC2"/>
    <w:rsid w:val="006B251B"/>
    <w:rsid w:val="006B654B"/>
    <w:rsid w:val="006C150D"/>
    <w:rsid w:val="006C3281"/>
    <w:rsid w:val="006C4910"/>
    <w:rsid w:val="006C5C78"/>
    <w:rsid w:val="006D1A0E"/>
    <w:rsid w:val="006D2BEB"/>
    <w:rsid w:val="006D30FC"/>
    <w:rsid w:val="006D454F"/>
    <w:rsid w:val="006D763E"/>
    <w:rsid w:val="006E02CB"/>
    <w:rsid w:val="006F4B55"/>
    <w:rsid w:val="006F6371"/>
    <w:rsid w:val="00700618"/>
    <w:rsid w:val="00702422"/>
    <w:rsid w:val="0070353A"/>
    <w:rsid w:val="00705C20"/>
    <w:rsid w:val="00710DB2"/>
    <w:rsid w:val="00711107"/>
    <w:rsid w:val="00711F3A"/>
    <w:rsid w:val="00721018"/>
    <w:rsid w:val="00732E2F"/>
    <w:rsid w:val="007351C4"/>
    <w:rsid w:val="00766436"/>
    <w:rsid w:val="00771199"/>
    <w:rsid w:val="007731F3"/>
    <w:rsid w:val="00776CDC"/>
    <w:rsid w:val="007811FD"/>
    <w:rsid w:val="00781679"/>
    <w:rsid w:val="007827DA"/>
    <w:rsid w:val="007945F7"/>
    <w:rsid w:val="00795468"/>
    <w:rsid w:val="007A1E14"/>
    <w:rsid w:val="007B49B7"/>
    <w:rsid w:val="007C5E73"/>
    <w:rsid w:val="007C617E"/>
    <w:rsid w:val="007D16CC"/>
    <w:rsid w:val="007E36B7"/>
    <w:rsid w:val="007F2BC0"/>
    <w:rsid w:val="007F5B2D"/>
    <w:rsid w:val="00812A84"/>
    <w:rsid w:val="00813413"/>
    <w:rsid w:val="00813C9C"/>
    <w:rsid w:val="00816C42"/>
    <w:rsid w:val="00817D0F"/>
    <w:rsid w:val="00823EE4"/>
    <w:rsid w:val="00824134"/>
    <w:rsid w:val="008244B2"/>
    <w:rsid w:val="00824A62"/>
    <w:rsid w:val="00824E22"/>
    <w:rsid w:val="00830BAE"/>
    <w:rsid w:val="0083376E"/>
    <w:rsid w:val="0084135D"/>
    <w:rsid w:val="00841B40"/>
    <w:rsid w:val="00842631"/>
    <w:rsid w:val="00846220"/>
    <w:rsid w:val="0084795A"/>
    <w:rsid w:val="00853F3F"/>
    <w:rsid w:val="00857B74"/>
    <w:rsid w:val="00871331"/>
    <w:rsid w:val="008736C3"/>
    <w:rsid w:val="008736FF"/>
    <w:rsid w:val="00874CFB"/>
    <w:rsid w:val="00875CA0"/>
    <w:rsid w:val="0087703F"/>
    <w:rsid w:val="0089670C"/>
    <w:rsid w:val="00897A56"/>
    <w:rsid w:val="008A2BA3"/>
    <w:rsid w:val="008A4B13"/>
    <w:rsid w:val="008A4CEF"/>
    <w:rsid w:val="008B0E0B"/>
    <w:rsid w:val="008B237C"/>
    <w:rsid w:val="008C0C82"/>
    <w:rsid w:val="008C1356"/>
    <w:rsid w:val="008C2FA7"/>
    <w:rsid w:val="008C62C5"/>
    <w:rsid w:val="008D232C"/>
    <w:rsid w:val="008D295A"/>
    <w:rsid w:val="008D3975"/>
    <w:rsid w:val="008E1A8B"/>
    <w:rsid w:val="008E36DF"/>
    <w:rsid w:val="008E3757"/>
    <w:rsid w:val="008F0D28"/>
    <w:rsid w:val="008F1E88"/>
    <w:rsid w:val="008F300F"/>
    <w:rsid w:val="008F58F0"/>
    <w:rsid w:val="008F7AB5"/>
    <w:rsid w:val="00903303"/>
    <w:rsid w:val="009118E5"/>
    <w:rsid w:val="00913085"/>
    <w:rsid w:val="0091548D"/>
    <w:rsid w:val="00915E03"/>
    <w:rsid w:val="009166E9"/>
    <w:rsid w:val="00916DDC"/>
    <w:rsid w:val="009218DC"/>
    <w:rsid w:val="00927483"/>
    <w:rsid w:val="0092780A"/>
    <w:rsid w:val="00941B11"/>
    <w:rsid w:val="0095146F"/>
    <w:rsid w:val="00953B87"/>
    <w:rsid w:val="009559FC"/>
    <w:rsid w:val="0096389E"/>
    <w:rsid w:val="00966CF8"/>
    <w:rsid w:val="00972C60"/>
    <w:rsid w:val="00973352"/>
    <w:rsid w:val="00980B78"/>
    <w:rsid w:val="009814A3"/>
    <w:rsid w:val="00982DEE"/>
    <w:rsid w:val="00996E8F"/>
    <w:rsid w:val="009A509A"/>
    <w:rsid w:val="009B3C14"/>
    <w:rsid w:val="009B5DF3"/>
    <w:rsid w:val="009B6EC2"/>
    <w:rsid w:val="009D60C2"/>
    <w:rsid w:val="009E1009"/>
    <w:rsid w:val="009E22D2"/>
    <w:rsid w:val="009E27CF"/>
    <w:rsid w:val="009F02E2"/>
    <w:rsid w:val="009F36A0"/>
    <w:rsid w:val="00A00959"/>
    <w:rsid w:val="00A02D99"/>
    <w:rsid w:val="00A10C8E"/>
    <w:rsid w:val="00A13CD1"/>
    <w:rsid w:val="00A22F81"/>
    <w:rsid w:val="00A22FAA"/>
    <w:rsid w:val="00A26D87"/>
    <w:rsid w:val="00A2773B"/>
    <w:rsid w:val="00A36702"/>
    <w:rsid w:val="00A37750"/>
    <w:rsid w:val="00A3775D"/>
    <w:rsid w:val="00A37F59"/>
    <w:rsid w:val="00A40302"/>
    <w:rsid w:val="00A423D8"/>
    <w:rsid w:val="00A5744C"/>
    <w:rsid w:val="00A6177A"/>
    <w:rsid w:val="00A65807"/>
    <w:rsid w:val="00A66B3E"/>
    <w:rsid w:val="00A67B13"/>
    <w:rsid w:val="00A763B5"/>
    <w:rsid w:val="00A76B37"/>
    <w:rsid w:val="00A8147D"/>
    <w:rsid w:val="00A83F0F"/>
    <w:rsid w:val="00A8573C"/>
    <w:rsid w:val="00A919B0"/>
    <w:rsid w:val="00A93D95"/>
    <w:rsid w:val="00AB1050"/>
    <w:rsid w:val="00AB6AD1"/>
    <w:rsid w:val="00AB6C10"/>
    <w:rsid w:val="00AC4FCC"/>
    <w:rsid w:val="00AC5DA7"/>
    <w:rsid w:val="00AD6F52"/>
    <w:rsid w:val="00AD7B7A"/>
    <w:rsid w:val="00AE1984"/>
    <w:rsid w:val="00AE30CE"/>
    <w:rsid w:val="00AE38D2"/>
    <w:rsid w:val="00AE4DAB"/>
    <w:rsid w:val="00AF2FE8"/>
    <w:rsid w:val="00AF3924"/>
    <w:rsid w:val="00AF63B7"/>
    <w:rsid w:val="00B11668"/>
    <w:rsid w:val="00B14049"/>
    <w:rsid w:val="00B14DFA"/>
    <w:rsid w:val="00B15FBF"/>
    <w:rsid w:val="00B2263B"/>
    <w:rsid w:val="00B22692"/>
    <w:rsid w:val="00B2380D"/>
    <w:rsid w:val="00B366C1"/>
    <w:rsid w:val="00B44531"/>
    <w:rsid w:val="00B55EEE"/>
    <w:rsid w:val="00B61493"/>
    <w:rsid w:val="00B63209"/>
    <w:rsid w:val="00B7261E"/>
    <w:rsid w:val="00B823A7"/>
    <w:rsid w:val="00B908D4"/>
    <w:rsid w:val="00B92694"/>
    <w:rsid w:val="00B9455C"/>
    <w:rsid w:val="00B96C05"/>
    <w:rsid w:val="00BA0549"/>
    <w:rsid w:val="00BA6725"/>
    <w:rsid w:val="00BA6BD3"/>
    <w:rsid w:val="00BA7715"/>
    <w:rsid w:val="00BB03D5"/>
    <w:rsid w:val="00BB29F6"/>
    <w:rsid w:val="00BB6801"/>
    <w:rsid w:val="00BC152D"/>
    <w:rsid w:val="00BC5A22"/>
    <w:rsid w:val="00BC7BE4"/>
    <w:rsid w:val="00BD68B3"/>
    <w:rsid w:val="00BF1894"/>
    <w:rsid w:val="00BF7701"/>
    <w:rsid w:val="00C07DB9"/>
    <w:rsid w:val="00C12D1D"/>
    <w:rsid w:val="00C12F5D"/>
    <w:rsid w:val="00C16778"/>
    <w:rsid w:val="00C16899"/>
    <w:rsid w:val="00C17A5B"/>
    <w:rsid w:val="00C211D9"/>
    <w:rsid w:val="00C27F5C"/>
    <w:rsid w:val="00C33DF2"/>
    <w:rsid w:val="00C35468"/>
    <w:rsid w:val="00C365BB"/>
    <w:rsid w:val="00C37722"/>
    <w:rsid w:val="00C50744"/>
    <w:rsid w:val="00C5190E"/>
    <w:rsid w:val="00C528CA"/>
    <w:rsid w:val="00C5336C"/>
    <w:rsid w:val="00C65131"/>
    <w:rsid w:val="00C65633"/>
    <w:rsid w:val="00C74881"/>
    <w:rsid w:val="00C76526"/>
    <w:rsid w:val="00C76A86"/>
    <w:rsid w:val="00C773F1"/>
    <w:rsid w:val="00C87009"/>
    <w:rsid w:val="00CA0DAC"/>
    <w:rsid w:val="00CA489E"/>
    <w:rsid w:val="00CA6532"/>
    <w:rsid w:val="00CB170A"/>
    <w:rsid w:val="00CC1ACD"/>
    <w:rsid w:val="00CC1BF6"/>
    <w:rsid w:val="00CC3631"/>
    <w:rsid w:val="00CC65D6"/>
    <w:rsid w:val="00CD1D43"/>
    <w:rsid w:val="00CD7984"/>
    <w:rsid w:val="00CD7DC4"/>
    <w:rsid w:val="00CE3537"/>
    <w:rsid w:val="00CE647E"/>
    <w:rsid w:val="00CF6579"/>
    <w:rsid w:val="00D00F43"/>
    <w:rsid w:val="00D045D4"/>
    <w:rsid w:val="00D1231B"/>
    <w:rsid w:val="00D13F7E"/>
    <w:rsid w:val="00D14042"/>
    <w:rsid w:val="00D141CE"/>
    <w:rsid w:val="00D220B6"/>
    <w:rsid w:val="00D243CB"/>
    <w:rsid w:val="00D30F5A"/>
    <w:rsid w:val="00D4327E"/>
    <w:rsid w:val="00D453F0"/>
    <w:rsid w:val="00D4716E"/>
    <w:rsid w:val="00D56527"/>
    <w:rsid w:val="00D6169B"/>
    <w:rsid w:val="00D72029"/>
    <w:rsid w:val="00D73376"/>
    <w:rsid w:val="00D75597"/>
    <w:rsid w:val="00D75B03"/>
    <w:rsid w:val="00D82FC2"/>
    <w:rsid w:val="00D83927"/>
    <w:rsid w:val="00D874F3"/>
    <w:rsid w:val="00DA2575"/>
    <w:rsid w:val="00DA2EC4"/>
    <w:rsid w:val="00DC3B5F"/>
    <w:rsid w:val="00DD12E3"/>
    <w:rsid w:val="00DD130B"/>
    <w:rsid w:val="00DD2A9A"/>
    <w:rsid w:val="00DE4973"/>
    <w:rsid w:val="00DE6138"/>
    <w:rsid w:val="00DF2323"/>
    <w:rsid w:val="00E02455"/>
    <w:rsid w:val="00E0388C"/>
    <w:rsid w:val="00E05EA9"/>
    <w:rsid w:val="00E0645A"/>
    <w:rsid w:val="00E200AC"/>
    <w:rsid w:val="00E20296"/>
    <w:rsid w:val="00E257BA"/>
    <w:rsid w:val="00E25E87"/>
    <w:rsid w:val="00E27379"/>
    <w:rsid w:val="00E41BE9"/>
    <w:rsid w:val="00E459EA"/>
    <w:rsid w:val="00E45EE0"/>
    <w:rsid w:val="00E47442"/>
    <w:rsid w:val="00E53336"/>
    <w:rsid w:val="00E57501"/>
    <w:rsid w:val="00E57605"/>
    <w:rsid w:val="00E617C1"/>
    <w:rsid w:val="00E66CEB"/>
    <w:rsid w:val="00E71571"/>
    <w:rsid w:val="00E80C98"/>
    <w:rsid w:val="00E838C3"/>
    <w:rsid w:val="00E83BDD"/>
    <w:rsid w:val="00E87508"/>
    <w:rsid w:val="00E917DE"/>
    <w:rsid w:val="00E942D8"/>
    <w:rsid w:val="00E949E7"/>
    <w:rsid w:val="00EA2C15"/>
    <w:rsid w:val="00EA44E7"/>
    <w:rsid w:val="00EB451E"/>
    <w:rsid w:val="00EB468D"/>
    <w:rsid w:val="00EB5FDA"/>
    <w:rsid w:val="00EC2A74"/>
    <w:rsid w:val="00EC3432"/>
    <w:rsid w:val="00ED33CB"/>
    <w:rsid w:val="00ED44F8"/>
    <w:rsid w:val="00EE0F5F"/>
    <w:rsid w:val="00EF31EE"/>
    <w:rsid w:val="00EF6D45"/>
    <w:rsid w:val="00F10701"/>
    <w:rsid w:val="00F1077A"/>
    <w:rsid w:val="00F11C2C"/>
    <w:rsid w:val="00F11DE3"/>
    <w:rsid w:val="00F158AD"/>
    <w:rsid w:val="00F15978"/>
    <w:rsid w:val="00F17B22"/>
    <w:rsid w:val="00F236FE"/>
    <w:rsid w:val="00F24984"/>
    <w:rsid w:val="00F34E2F"/>
    <w:rsid w:val="00F35AD8"/>
    <w:rsid w:val="00F35AEC"/>
    <w:rsid w:val="00F36DD9"/>
    <w:rsid w:val="00F441DE"/>
    <w:rsid w:val="00F45FAD"/>
    <w:rsid w:val="00F546AD"/>
    <w:rsid w:val="00F54F30"/>
    <w:rsid w:val="00F56366"/>
    <w:rsid w:val="00F613E5"/>
    <w:rsid w:val="00F6608B"/>
    <w:rsid w:val="00F70157"/>
    <w:rsid w:val="00F71068"/>
    <w:rsid w:val="00F77DCB"/>
    <w:rsid w:val="00F82D68"/>
    <w:rsid w:val="00F85BC6"/>
    <w:rsid w:val="00F86ED5"/>
    <w:rsid w:val="00FA0B9F"/>
    <w:rsid w:val="00FA14B2"/>
    <w:rsid w:val="00FA295B"/>
    <w:rsid w:val="00FA3DFE"/>
    <w:rsid w:val="00FB173F"/>
    <w:rsid w:val="00FB2B09"/>
    <w:rsid w:val="00FB2F16"/>
    <w:rsid w:val="00FB5ACA"/>
    <w:rsid w:val="00FB6D5D"/>
    <w:rsid w:val="00FC0FA0"/>
    <w:rsid w:val="00FC4F3A"/>
    <w:rsid w:val="00FD699E"/>
    <w:rsid w:val="00FE170D"/>
    <w:rsid w:val="00FE1C45"/>
    <w:rsid w:val="00FE4C03"/>
    <w:rsid w:val="00FE7523"/>
    <w:rsid w:val="00FF6F0C"/>
    <w:rsid w:val="01075FFE"/>
    <w:rsid w:val="012A2FD3"/>
    <w:rsid w:val="03749116"/>
    <w:rsid w:val="042E963A"/>
    <w:rsid w:val="043E470E"/>
    <w:rsid w:val="04783882"/>
    <w:rsid w:val="04C7E0C0"/>
    <w:rsid w:val="059C50DF"/>
    <w:rsid w:val="062B7E23"/>
    <w:rsid w:val="06F4E925"/>
    <w:rsid w:val="0853D01F"/>
    <w:rsid w:val="0A35B4AD"/>
    <w:rsid w:val="0AD395A8"/>
    <w:rsid w:val="0AE73F28"/>
    <w:rsid w:val="0B2E3546"/>
    <w:rsid w:val="0C7F8DE3"/>
    <w:rsid w:val="0D2A50E2"/>
    <w:rsid w:val="0D5A4C79"/>
    <w:rsid w:val="0DECE409"/>
    <w:rsid w:val="0E0BCE25"/>
    <w:rsid w:val="0E2047A1"/>
    <w:rsid w:val="0FE2BC90"/>
    <w:rsid w:val="103F716F"/>
    <w:rsid w:val="10EB222F"/>
    <w:rsid w:val="119124F6"/>
    <w:rsid w:val="126BB6FD"/>
    <w:rsid w:val="13E6D7BC"/>
    <w:rsid w:val="147007D4"/>
    <w:rsid w:val="148EF5E6"/>
    <w:rsid w:val="15E009A3"/>
    <w:rsid w:val="17352BF8"/>
    <w:rsid w:val="1864E535"/>
    <w:rsid w:val="1A6AA18D"/>
    <w:rsid w:val="1DCE5B73"/>
    <w:rsid w:val="1E00E9E6"/>
    <w:rsid w:val="1E817CF5"/>
    <w:rsid w:val="1F5DE97B"/>
    <w:rsid w:val="20449BAD"/>
    <w:rsid w:val="20642506"/>
    <w:rsid w:val="20A70C3A"/>
    <w:rsid w:val="2183A7BA"/>
    <w:rsid w:val="21E1553D"/>
    <w:rsid w:val="25309EA3"/>
    <w:rsid w:val="28CC8941"/>
    <w:rsid w:val="2960B2DC"/>
    <w:rsid w:val="296B44F1"/>
    <w:rsid w:val="29A3F085"/>
    <w:rsid w:val="29FBF06A"/>
    <w:rsid w:val="2AD836DA"/>
    <w:rsid w:val="2B2A1837"/>
    <w:rsid w:val="2BFB28D1"/>
    <w:rsid w:val="2C2D826A"/>
    <w:rsid w:val="2D424DFF"/>
    <w:rsid w:val="2E1D42A4"/>
    <w:rsid w:val="2F353D74"/>
    <w:rsid w:val="30B7136D"/>
    <w:rsid w:val="316449FF"/>
    <w:rsid w:val="318C1E5D"/>
    <w:rsid w:val="33649380"/>
    <w:rsid w:val="33AED289"/>
    <w:rsid w:val="34BF5D37"/>
    <w:rsid w:val="350E48B0"/>
    <w:rsid w:val="3615931A"/>
    <w:rsid w:val="37153DEE"/>
    <w:rsid w:val="37188014"/>
    <w:rsid w:val="3750B3C0"/>
    <w:rsid w:val="391BD33D"/>
    <w:rsid w:val="397BA925"/>
    <w:rsid w:val="399B25F8"/>
    <w:rsid w:val="3A0F9E13"/>
    <w:rsid w:val="3AFBC5AC"/>
    <w:rsid w:val="3DC4D74C"/>
    <w:rsid w:val="3EBCCDFD"/>
    <w:rsid w:val="3F27B9BF"/>
    <w:rsid w:val="4048C734"/>
    <w:rsid w:val="420D843B"/>
    <w:rsid w:val="4390DC7D"/>
    <w:rsid w:val="445DDCBA"/>
    <w:rsid w:val="449BAA90"/>
    <w:rsid w:val="46200AFA"/>
    <w:rsid w:val="465FF5B4"/>
    <w:rsid w:val="46F5811A"/>
    <w:rsid w:val="4905B21C"/>
    <w:rsid w:val="49DD005E"/>
    <w:rsid w:val="4A4522C2"/>
    <w:rsid w:val="4D65239A"/>
    <w:rsid w:val="4E4D48DE"/>
    <w:rsid w:val="4EB07181"/>
    <w:rsid w:val="4FA57FD8"/>
    <w:rsid w:val="4FD3AC4A"/>
    <w:rsid w:val="5018D6EA"/>
    <w:rsid w:val="50365E22"/>
    <w:rsid w:val="5200051F"/>
    <w:rsid w:val="5342FB7B"/>
    <w:rsid w:val="544F11FB"/>
    <w:rsid w:val="54582446"/>
    <w:rsid w:val="54840D66"/>
    <w:rsid w:val="55CECE4E"/>
    <w:rsid w:val="5669A12D"/>
    <w:rsid w:val="5CA2236B"/>
    <w:rsid w:val="5EFB43EB"/>
    <w:rsid w:val="5FE1D916"/>
    <w:rsid w:val="60D8CE8A"/>
    <w:rsid w:val="6136C7FB"/>
    <w:rsid w:val="615CED5D"/>
    <w:rsid w:val="61BA4BCD"/>
    <w:rsid w:val="6356E634"/>
    <w:rsid w:val="636D05D5"/>
    <w:rsid w:val="63D530C1"/>
    <w:rsid w:val="6430244E"/>
    <w:rsid w:val="64BD5AA0"/>
    <w:rsid w:val="65665376"/>
    <w:rsid w:val="65CA45F0"/>
    <w:rsid w:val="65D41BE8"/>
    <w:rsid w:val="661CFD40"/>
    <w:rsid w:val="6728D7C5"/>
    <w:rsid w:val="69570C8D"/>
    <w:rsid w:val="695B05BB"/>
    <w:rsid w:val="69E419E8"/>
    <w:rsid w:val="6C314674"/>
    <w:rsid w:val="6CEFE75D"/>
    <w:rsid w:val="6E430E95"/>
    <w:rsid w:val="6E928A77"/>
    <w:rsid w:val="6F68F728"/>
    <w:rsid w:val="6F9E2B4E"/>
    <w:rsid w:val="6FC544B7"/>
    <w:rsid w:val="70A73FB5"/>
    <w:rsid w:val="725D242F"/>
    <w:rsid w:val="749D8B21"/>
    <w:rsid w:val="75D27916"/>
    <w:rsid w:val="75F7AE9A"/>
    <w:rsid w:val="765B8336"/>
    <w:rsid w:val="7706D399"/>
    <w:rsid w:val="782F1B7B"/>
    <w:rsid w:val="787B6E54"/>
    <w:rsid w:val="79606B98"/>
    <w:rsid w:val="79B84009"/>
    <w:rsid w:val="79C88D1C"/>
    <w:rsid w:val="7A7BB6F5"/>
    <w:rsid w:val="7B042185"/>
    <w:rsid w:val="7B0B2416"/>
    <w:rsid w:val="7C707162"/>
    <w:rsid w:val="7C8B7B1F"/>
    <w:rsid w:val="7CDA943F"/>
    <w:rsid w:val="7DC09AA6"/>
    <w:rsid w:val="7E3BC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5E1F394"/>
  <w15:docId w15:val="{9065C5DE-A4C0-42AC-8959-876B85AB5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0" w:qFormat="1"/>
    <w:lsdException w:name="heading 2" w:semiHidden="1" w:uiPriority="0" w:qFormat="1"/>
    <w:lsdException w:name="heading 3" w:semiHidden="1" w:uiPriority="0" w:qFormat="1"/>
    <w:lsdException w:name="heading 4" w:semiHidden="1" w:uiPriority="0" w:qFormat="1"/>
    <w:lsdException w:name="heading 5" w:semiHidden="1" w:uiPriority="0" w:qFormat="1"/>
    <w:lsdException w:name="heading 6" w:semiHidden="1" w:uiPriority="0" w:qFormat="1"/>
    <w:lsdException w:name="heading 7" w:semiHidden="1" w:uiPriority="0" w:qFormat="1"/>
    <w:lsdException w:name="heading 8" w:semiHidden="1" w:uiPriority="0" w:qFormat="1"/>
    <w:lsdException w:name="heading 9" w:semiHidden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"/>
    <w:qFormat/>
    <w:rsid w:val="0044145F"/>
    <w:pPr>
      <w:spacing w:after="0" w:line="240" w:lineRule="auto"/>
    </w:pPr>
  </w:style>
  <w:style w:type="paragraph" w:styleId="Heading1">
    <w:name w:val="heading 1"/>
    <w:basedOn w:val="Normal"/>
    <w:next w:val="Heading2"/>
    <w:link w:val="Heading1Char"/>
    <w:qFormat/>
    <w:rsid w:val="00515616"/>
    <w:pPr>
      <w:keepNext/>
      <w:numPr>
        <w:numId w:val="1"/>
      </w:numPr>
      <w:spacing w:after="120"/>
      <w:jc w:val="both"/>
      <w:outlineLvl w:val="0"/>
    </w:pPr>
    <w:rPr>
      <w:rFonts w:eastAsia="Times New Roman" w:cs="Times New Roman"/>
      <w:b/>
      <w:bCs/>
      <w:color w:val="003366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515616"/>
    <w:pPr>
      <w:keepNext/>
      <w:numPr>
        <w:ilvl w:val="1"/>
        <w:numId w:val="1"/>
      </w:numPr>
      <w:spacing w:before="150"/>
      <w:jc w:val="both"/>
      <w:outlineLvl w:val="1"/>
    </w:pPr>
    <w:rPr>
      <w:rFonts w:eastAsia="Times New Roman" w:cs="Times New Roman"/>
      <w:b/>
      <w:color w:val="333333"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D56527"/>
    <w:pPr>
      <w:keepNext/>
      <w:numPr>
        <w:ilvl w:val="2"/>
        <w:numId w:val="1"/>
      </w:numPr>
      <w:jc w:val="both"/>
      <w:outlineLvl w:val="2"/>
    </w:pPr>
    <w:rPr>
      <w:rFonts w:eastAsia="Times New Roman" w:cs="Times New Roman"/>
      <w:b/>
      <w:iCs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515616"/>
    <w:pPr>
      <w:keepNext/>
      <w:numPr>
        <w:ilvl w:val="3"/>
        <w:numId w:val="1"/>
      </w:numPr>
      <w:spacing w:before="240" w:after="60"/>
      <w:jc w:val="both"/>
      <w:outlineLvl w:val="3"/>
    </w:pPr>
    <w:rPr>
      <w:rFonts w:eastAsia="Times New Roman" w:cs="Times New Roman"/>
      <w:bCs/>
      <w:sz w:val="20"/>
      <w:szCs w:val="28"/>
    </w:rPr>
  </w:style>
  <w:style w:type="paragraph" w:styleId="Heading5">
    <w:name w:val="heading 5"/>
    <w:basedOn w:val="Normal"/>
    <w:next w:val="Normal"/>
    <w:link w:val="Heading5Char"/>
    <w:qFormat/>
    <w:rsid w:val="00515616"/>
    <w:pPr>
      <w:numPr>
        <w:ilvl w:val="4"/>
        <w:numId w:val="1"/>
      </w:numPr>
      <w:spacing w:before="240" w:after="60"/>
      <w:jc w:val="both"/>
      <w:outlineLvl w:val="4"/>
    </w:pPr>
    <w:rPr>
      <w:rFonts w:eastAsia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15616"/>
    <w:pPr>
      <w:numPr>
        <w:ilvl w:val="5"/>
        <w:numId w:val="1"/>
      </w:numPr>
      <w:spacing w:before="240" w:after="60"/>
      <w:jc w:val="both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515616"/>
    <w:pPr>
      <w:numPr>
        <w:ilvl w:val="6"/>
        <w:numId w:val="1"/>
      </w:numPr>
      <w:spacing w:before="240" w:after="60"/>
      <w:jc w:val="both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515616"/>
    <w:pPr>
      <w:numPr>
        <w:ilvl w:val="7"/>
        <w:numId w:val="1"/>
      </w:numPr>
      <w:spacing w:before="240" w:after="60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515616"/>
    <w:pPr>
      <w:numPr>
        <w:ilvl w:val="8"/>
        <w:numId w:val="1"/>
      </w:numPr>
      <w:spacing w:before="240" w:after="60"/>
      <w:jc w:val="both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61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14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qFormat/>
    <w:rsid w:val="0044145F"/>
    <w:pPr>
      <w:spacing w:line="280" w:lineRule="exact"/>
    </w:pPr>
    <w:rPr>
      <w:color w:val="141414"/>
      <w:sz w:val="24"/>
    </w:rPr>
  </w:style>
  <w:style w:type="character" w:customStyle="1" w:styleId="BodyTextChar">
    <w:name w:val="Body Text Char"/>
    <w:basedOn w:val="DefaultParagraphFont"/>
    <w:link w:val="BodyText"/>
    <w:rsid w:val="0044145F"/>
    <w:rPr>
      <w:color w:val="141414"/>
      <w:sz w:val="24"/>
    </w:rPr>
  </w:style>
  <w:style w:type="paragraph" w:customStyle="1" w:styleId="Image">
    <w:name w:val="Image"/>
    <w:basedOn w:val="Normal"/>
    <w:uiPriority w:val="1"/>
    <w:qFormat/>
    <w:rsid w:val="0044145F"/>
    <w:pPr>
      <w:spacing w:after="360"/>
    </w:pPr>
    <w:rPr>
      <w:noProof/>
      <w:lang w:val="en-US"/>
    </w:rPr>
  </w:style>
  <w:style w:type="paragraph" w:customStyle="1" w:styleId="NameofFund">
    <w:name w:val="Name of Fund"/>
    <w:basedOn w:val="BodyText"/>
    <w:uiPriority w:val="2"/>
    <w:qFormat/>
    <w:rsid w:val="0044145F"/>
    <w:pPr>
      <w:spacing w:before="113" w:after="227"/>
    </w:pPr>
    <w:rPr>
      <w:color w:val="142068" w:themeColor="text2"/>
    </w:rPr>
  </w:style>
  <w:style w:type="paragraph" w:styleId="Header">
    <w:name w:val="header"/>
    <w:basedOn w:val="Normal"/>
    <w:link w:val="HeaderChar"/>
    <w:rsid w:val="004414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145F"/>
  </w:style>
  <w:style w:type="paragraph" w:styleId="Footer">
    <w:name w:val="footer"/>
    <w:basedOn w:val="Normal"/>
    <w:link w:val="FooterChar"/>
    <w:uiPriority w:val="99"/>
    <w:rsid w:val="0044145F"/>
    <w:pPr>
      <w:tabs>
        <w:tab w:val="right" w:pos="10490"/>
      </w:tabs>
    </w:pPr>
    <w:rPr>
      <w:color w:val="141414"/>
    </w:rPr>
  </w:style>
  <w:style w:type="character" w:customStyle="1" w:styleId="FooterChar">
    <w:name w:val="Footer Char"/>
    <w:basedOn w:val="DefaultParagraphFont"/>
    <w:link w:val="Footer"/>
    <w:uiPriority w:val="99"/>
    <w:rsid w:val="0044145F"/>
    <w:rPr>
      <w:color w:val="141414"/>
    </w:rPr>
  </w:style>
  <w:style w:type="character" w:customStyle="1" w:styleId="Heading1Char">
    <w:name w:val="Heading 1 Char"/>
    <w:basedOn w:val="DefaultParagraphFont"/>
    <w:link w:val="Heading1"/>
    <w:rsid w:val="00515616"/>
    <w:rPr>
      <w:rFonts w:eastAsia="Times New Roman" w:cs="Times New Roman"/>
      <w:b/>
      <w:bCs/>
      <w:color w:val="003366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515616"/>
    <w:rPr>
      <w:rFonts w:eastAsia="Times New Roman" w:cs="Times New Roman"/>
      <w:b/>
      <w:color w:val="333333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D56527"/>
    <w:rPr>
      <w:rFonts w:eastAsia="Times New Roman" w:cs="Times New Roman"/>
      <w:b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515616"/>
    <w:rPr>
      <w:rFonts w:eastAsia="Times New Roman" w:cs="Times New Roman"/>
      <w:bCs/>
      <w:sz w:val="20"/>
      <w:szCs w:val="28"/>
    </w:rPr>
  </w:style>
  <w:style w:type="character" w:customStyle="1" w:styleId="Heading5Char">
    <w:name w:val="Heading 5 Char"/>
    <w:basedOn w:val="DefaultParagraphFont"/>
    <w:link w:val="Heading5"/>
    <w:rsid w:val="00515616"/>
    <w:rPr>
      <w:rFonts w:eastAsia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515616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51561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515616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515616"/>
    <w:rPr>
      <w:rFonts w:eastAsia="Times New Roman" w:cs="Arial"/>
    </w:rPr>
  </w:style>
  <w:style w:type="paragraph" w:styleId="ListParagraph">
    <w:name w:val="List Paragraph"/>
    <w:aliases w:val="Paragraphe de liste,Annexure,List Paragraph1,main heading,SD JURIDIQUE TITRE 5,Bullet 05,Heading 91,Heading 911,Medium Grid 1 - Accent 21,Report Para,WinDForce-Letter,heading 9,Heading 92,References,Bullets,Liste 1,List Paragraph 2"/>
    <w:basedOn w:val="Normal"/>
    <w:link w:val="ListParagraphChar"/>
    <w:uiPriority w:val="34"/>
    <w:qFormat/>
    <w:rsid w:val="00515616"/>
    <w:pPr>
      <w:ind w:left="720"/>
      <w:contextualSpacing/>
      <w:jc w:val="both"/>
    </w:pPr>
    <w:rPr>
      <w:rFonts w:eastAsia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4A3BF7"/>
    <w:pPr>
      <w:spacing w:after="0" w:line="240" w:lineRule="auto"/>
    </w:pPr>
    <w:rPr>
      <w:rFonts w:eastAsia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776CD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43CB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1336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363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36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36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363C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3826F1"/>
    <w:rPr>
      <w:color w:val="808080"/>
    </w:rPr>
  </w:style>
  <w:style w:type="character" w:customStyle="1" w:styleId="ListParagraphChar">
    <w:name w:val="List Paragraph Char"/>
    <w:aliases w:val="Paragraphe de liste Char,Annexure Char,List Paragraph1 Char,main heading Char,SD JURIDIQUE TITRE 5 Char,Bullet 05 Char,Heading 91 Char,Heading 911 Char,Medium Grid 1 - Accent 21 Char,Report Para Char,WinDForce-Letter Char"/>
    <w:basedOn w:val="DefaultParagraphFont"/>
    <w:link w:val="ListParagraph"/>
    <w:uiPriority w:val="34"/>
    <w:qFormat/>
    <w:rsid w:val="00E257BA"/>
    <w:rPr>
      <w:rFonts w:eastAsia="Times New Roman" w:cs="Times New Roman"/>
      <w:sz w:val="20"/>
      <w:szCs w:val="20"/>
    </w:rPr>
  </w:style>
  <w:style w:type="paragraph" w:styleId="Revision">
    <w:name w:val="Revision"/>
    <w:hidden/>
    <w:uiPriority w:val="99"/>
    <w:semiHidden/>
    <w:rsid w:val="002D5A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03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4.emf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3498A0CFCC34DCB8FAE327CA1ADD6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CB08B7-CF61-4083-A4CD-C6EA31866E03}"/>
      </w:docPartPr>
      <w:docPartBody>
        <w:p w:rsidR="00017DB9" w:rsidRDefault="00FC0FA0" w:rsidP="00FC0FA0">
          <w:pPr>
            <w:pStyle w:val="E3498A0CFCC34DCB8FAE327CA1ADD6D51"/>
          </w:pPr>
          <w:r w:rsidRPr="00945F95">
            <w:rPr>
              <w:rStyle w:val="PlaceholderText"/>
              <w:rFonts w:cs="Arial"/>
              <w:sz w:val="14"/>
              <w:szCs w:val="14"/>
            </w:rPr>
            <w:t>Template owner: KP/Last update: September 2020</w:t>
          </w:r>
        </w:p>
      </w:docPartBody>
    </w:docPart>
    <w:docPart>
      <w:docPartPr>
        <w:name w:val="F1C396B1EF8940EE8B59D32B84CBD1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FEACF-79B4-4959-9369-46AF7F7A1A32}"/>
      </w:docPartPr>
      <w:docPartBody>
        <w:p w:rsidR="00017DB9" w:rsidRDefault="00FC0FA0" w:rsidP="00FC0FA0">
          <w:pPr>
            <w:pStyle w:val="F1C396B1EF8940EE8B59D32B84CBD13B"/>
          </w:pPr>
          <w:r w:rsidRPr="00945F95">
            <w:rPr>
              <w:rStyle w:val="PlaceholderText"/>
              <w:rFonts w:cs="Arial"/>
              <w:sz w:val="14"/>
              <w:szCs w:val="14"/>
            </w:rPr>
            <w:t>Template owner: KP/Last update: September 2020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Neue LT 65 Medium">
    <w:altName w:val="Arial"/>
    <w:panose1 w:val="00000000000000000000"/>
    <w:charset w:val="0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FA0"/>
    <w:rsid w:val="00017DB9"/>
    <w:rsid w:val="00123C7E"/>
    <w:rsid w:val="00150944"/>
    <w:rsid w:val="00173EB1"/>
    <w:rsid w:val="003C6EDC"/>
    <w:rsid w:val="004A63B1"/>
    <w:rsid w:val="007B6BD9"/>
    <w:rsid w:val="007D7621"/>
    <w:rsid w:val="008270C3"/>
    <w:rsid w:val="008D4F7B"/>
    <w:rsid w:val="00903F3F"/>
    <w:rsid w:val="00B72AD9"/>
    <w:rsid w:val="00E23D1B"/>
    <w:rsid w:val="00FC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0FA0"/>
    <w:rPr>
      <w:color w:val="808080"/>
    </w:rPr>
  </w:style>
  <w:style w:type="paragraph" w:customStyle="1" w:styleId="E3498A0CFCC34DCB8FAE327CA1ADD6D51">
    <w:name w:val="E3498A0CFCC34DCB8FAE327CA1ADD6D51"/>
    <w:rsid w:val="00FC0FA0"/>
    <w:pPr>
      <w:tabs>
        <w:tab w:val="right" w:pos="10490"/>
      </w:tabs>
      <w:spacing w:after="0" w:line="240" w:lineRule="auto"/>
    </w:pPr>
    <w:rPr>
      <w:rFonts w:ascii="Arial" w:eastAsiaTheme="minorHAnsi" w:hAnsi="Arial"/>
      <w:color w:val="141414"/>
      <w:lang w:eastAsia="en-US"/>
    </w:rPr>
  </w:style>
  <w:style w:type="paragraph" w:customStyle="1" w:styleId="F1C396B1EF8940EE8B59D32B84CBD13B">
    <w:name w:val="F1C396B1EF8940EE8B59D32B84CBD13B"/>
    <w:rsid w:val="00FC0F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shift_jis"/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avills Investment">
      <a:dk1>
        <a:srgbClr val="141414"/>
      </a:dk1>
      <a:lt1>
        <a:srgbClr val="FFFFFF"/>
      </a:lt1>
      <a:dk2>
        <a:srgbClr val="142068"/>
      </a:dk2>
      <a:lt2>
        <a:srgbClr val="B3B3B3"/>
      </a:lt2>
      <a:accent1>
        <a:srgbClr val="B3D455"/>
      </a:accent1>
      <a:accent2>
        <a:srgbClr val="00808C"/>
      </a:accent2>
      <a:accent3>
        <a:srgbClr val="BD2345"/>
      </a:accent3>
      <a:accent4>
        <a:srgbClr val="EA8225"/>
      </a:accent4>
      <a:accent5>
        <a:srgbClr val="F7D132"/>
      </a:accent5>
      <a:accent6>
        <a:srgbClr val="BDBCBC"/>
      </a:accent6>
      <a:hlink>
        <a:srgbClr val="414042"/>
      </a:hlink>
      <a:folHlink>
        <a:srgbClr val="414042"/>
      </a:folHlink>
    </a:clrScheme>
    <a:fontScheme name="Savills TAC Papers">
      <a:majorFont>
        <a:latin typeface="HelveticaNeue LT 65 Medium"/>
        <a:ea typeface=""/>
        <a:cs typeface=""/>
      </a:majorFont>
      <a:minorFont>
        <a:latin typeface="HelveticaNeue LT 65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3175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2A6E85194C6D43BA6CF0D6DF0CC1AD" ma:contentTypeVersion="" ma:contentTypeDescription="Create a new document." ma:contentTypeScope="" ma:versionID="9a027d7b9e38e2484613fb4979156fb3">
  <xsd:schema xmlns:xsd="http://www.w3.org/2001/XMLSchema" xmlns:xs="http://www.w3.org/2001/XMLSchema" xmlns:p="http://schemas.microsoft.com/office/2006/metadata/properties" xmlns:ns2="05108d7d-121c-4235-a823-c97a70bd218f" xmlns:ns3="695b5106-9250-4ffb-b471-206fb5c0bf2f" xmlns:ns4="fa967f50-e1ff-41e9-8c5e-9cbac7777991" targetNamespace="http://schemas.microsoft.com/office/2006/metadata/properties" ma:root="true" ma:fieldsID="6ba8888f278076e3d1b11079393bb0da" ns2:_="" ns3:_="" ns4:_="">
    <xsd:import namespace="05108d7d-121c-4235-a823-c97a70bd218f"/>
    <xsd:import namespace="695b5106-9250-4ffb-b471-206fb5c0bf2f"/>
    <xsd:import namespace="fa967f50-e1ff-41e9-8c5e-9cbac77779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  <xsd:element ref="ns2:MediaLengthInSeconds" minOccurs="0"/>
                <xsd:element ref="ns2:MediaServiceObjectDetectorVersions" minOccurs="0"/>
                <xsd:element ref="ns2:Comments" minOccurs="0"/>
                <xsd:element ref="ns2:_Flow_SignoffStatu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108d7d-121c-4235-a823-c97a70bd21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385bd8b0-e6f1-4a7c-b776-3fcf2def21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Comments" ma:index="25" nillable="true" ma:displayName="Comments" ma:internalName="Comments">
      <xsd:simpleType>
        <xsd:restriction base="dms:Text">
          <xsd:maxLength value="255"/>
        </xsd:restriction>
      </xsd:simpleType>
    </xsd:element>
    <xsd:element name="_Flow_SignoffStatus" ma:index="26" nillable="true" ma:displayName="Sign-off status" ma:internalName="Sign_x002d_off_x0020_status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5b5106-9250-4ffb-b471-206fb5c0bf2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967f50-e1ff-41e9-8c5e-9cbac7777991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326EE485-C55B-4EE7-A791-167FC29C6A00}" ma:internalName="TaxCatchAll" ma:showField="CatchAllData" ma:web="{3ca8cb70-4e3d-41fa-a9a3-c7b9f26d3104}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108d7d-121c-4235-a823-c97a70bd218f">
      <Terms xmlns="http://schemas.microsoft.com/office/infopath/2007/PartnerControls"/>
    </lcf76f155ced4ddcb4097134ff3c332f>
    <TaxCatchAll xmlns="fa967f50-e1ff-41e9-8c5e-9cbac7777991" xsi:nil="true"/>
    <_Flow_SignoffStatus xmlns="05108d7d-121c-4235-a823-c97a70bd218f" xsi:nil="true"/>
    <Comments xmlns="05108d7d-121c-4235-a823-c97a70bd218f" xsi:nil="true"/>
  </documentManagement>
</p:properties>
</file>

<file path=customXml/itemProps1.xml><?xml version="1.0" encoding="utf-8"?>
<ds:datastoreItem xmlns:ds="http://schemas.openxmlformats.org/officeDocument/2006/customXml" ds:itemID="{6C4DFD6E-596E-4E50-9E87-FE99BFF4FD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449A70-118A-419E-B646-4E422F2D19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108d7d-121c-4235-a823-c97a70bd218f"/>
    <ds:schemaRef ds:uri="695b5106-9250-4ffb-b471-206fb5c0bf2f"/>
    <ds:schemaRef ds:uri="fa967f50-e1ff-41e9-8c5e-9cbac77779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D4C8F7B-F4B3-49F0-97E2-DF8EF97F652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7E57D82-B532-4E3D-8D6D-AF2A295CC496}">
  <ds:schemaRefs>
    <ds:schemaRef ds:uri="http://schemas.microsoft.com/office/2006/metadata/properties"/>
    <ds:schemaRef ds:uri="http://schemas.microsoft.com/office/infopath/2007/PartnerControls"/>
    <ds:schemaRef ds:uri="05108d7d-121c-4235-a823-c97a70bd218f"/>
    <ds:schemaRef ds:uri="fa967f50-e1ff-41e9-8c5e-9cbac777799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671</Words>
  <Characters>3830</Characters>
  <Application>Microsoft Office Word</Application>
  <DocSecurity>4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LRouse</dc:creator>
  <cp:keywords/>
  <cp:lastModifiedBy>Roderic Curtis</cp:lastModifiedBy>
  <cp:revision>41</cp:revision>
  <cp:lastPrinted>2022-10-29T16:08:00Z</cp:lastPrinted>
  <dcterms:created xsi:type="dcterms:W3CDTF">2023-01-16T17:06:00Z</dcterms:created>
  <dcterms:modified xsi:type="dcterms:W3CDTF">2024-03-28T00:32:00Z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ive_VersionGuid">
    <vt:lpwstr>1bc46052-bfa8-4f06-adee-b43019bf45e9</vt:lpwstr>
  </property>
  <property fmtid="{D5CDD505-2E9C-101B-9397-08002B2CF9AE}" pid="3" name="Jive_LatestUserAccountName">
    <vt:lpwstr>wjohnson</vt:lpwstr>
  </property>
  <property fmtid="{D5CDD505-2E9C-101B-9397-08002B2CF9AE}" pid="4" name="Offisync_UniqueId">
    <vt:lpwstr>98583</vt:lpwstr>
  </property>
  <property fmtid="{D5CDD505-2E9C-101B-9397-08002B2CF9AE}" pid="5" name="Offisync_ProviderInitializationData">
    <vt:lpwstr>https://connect.savills.com</vt:lpwstr>
  </property>
  <property fmtid="{D5CDD505-2E9C-101B-9397-08002B2CF9AE}" pid="6" name="Offisync_UpdateToken">
    <vt:lpwstr>1</vt:lpwstr>
  </property>
  <property fmtid="{D5CDD505-2E9C-101B-9397-08002B2CF9AE}" pid="7" name="Offisync_ServerID">
    <vt:lpwstr>4cf16b7c-c1ef-4164-9277-32539e20f605</vt:lpwstr>
  </property>
  <property fmtid="{D5CDD505-2E9C-101B-9397-08002B2CF9AE}" pid="8" name="ContentTypeId">
    <vt:lpwstr>0x0101004B2A6E85194C6D43BA6CF0D6DF0CC1AD</vt:lpwstr>
  </property>
  <property fmtid="{D5CDD505-2E9C-101B-9397-08002B2CF9AE}" pid="9" name="MediaServiceImageTags">
    <vt:lpwstr/>
  </property>
</Properties>
</file>