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Follow-up #2 — Day 7 增加价值信息</w:t>
      </w:r>
    </w:p>
    <w:p>
      <w:r>
        <w:rPr>
          <w:b/>
          <w:color w:val="003366"/>
          <w:sz w:val="36"/>
        </w:rPr>
        <w:t>策略：提供一个有趣的产品知识/数据点，展示专业性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Quick fact — Why Vietnamese pepper outperforms</w:t>
      </w:r>
    </w:p>
    <w:p>
      <w:r>
        <w:t>Hi [First Name],</w:t>
      </w:r>
    </w:p>
    <w:p>
      <w:r>
        <w:t>A quick one: did you know Vietnam produces over 35% of the world's black pepper, and its pepper consistently ranks highest in piperine content (the compound responsible for that sharp, spicy kick)?</w:t>
      </w:r>
    </w:p>
    <w:p>
      <w:r>
        <w:t>That's exactly why we source our Signature Senses black pepper exclusively from Vietnam — and pair it with Australian sea salt in a refillable ceramic grinder.</w:t>
      </w:r>
    </w:p>
    <w:p>
      <w:r>
        <w:t>Here's a short product overview:</w:t>
      </w:r>
    </w:p>
    <w:p>
      <w:r>
        <w:t>https://www.boxtray.com/signature-senses</w:t>
      </w:r>
    </w:p>
    <w:p>
      <w:r>
        <w:t>If this sparks any interest, I'd be glad to send over samples or our full catalog.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