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Based on my comprehensive analysis of the research you provided, here is the synthesized Strategic Intelligence Report. The case studies are consolidated, refined, and structured according to your requested format, providing a clear, actionable playbook for navigating the post-federal water landscape.</w:t>
      </w:r>
    </w:p>
    <w:p w:rsidR="00000000" w:rsidDel="00000000" w:rsidP="00000000" w:rsidRDefault="00000000" w:rsidRPr="00000000" w14:paraId="00000002">
      <w:pPr>
        <w:pStyle w:val="Heading3"/>
        <w:pBdr>
          <w:top w:space="0" w:sz="0" w:val="nil"/>
          <w:left w:space="0" w:sz="0" w:val="nil"/>
          <w:bottom w:space="0" w:sz="0" w:val="nil"/>
          <w:right w:space="0" w:sz="0" w:val="nil"/>
          <w:between w:space="0" w:sz="0" w:val="nil"/>
        </w:pBdr>
        <w:shd w:fill="auto" w:val="clear"/>
        <w:spacing w:before="0" w:lineRule="auto"/>
        <w:rPr>
          <w:b w:val="1"/>
          <w:bCs w:val="1"/>
          <w:i w:val="0"/>
          <w:iCs w:val="0"/>
          <w:sz w:val="28"/>
          <w:szCs w:val="28"/>
        </w:rPr>
      </w:pPr>
      <w:r w:rsidDel="00000000" w:rsidR="00000000" w:rsidRPr="00000000">
        <w:rPr>
          <w:b w:val="1"/>
          <w:bCs w:val="1"/>
          <w:i w:val="0"/>
          <w:iCs w:val="0"/>
          <w:sz w:val="28"/>
          <w:szCs w:val="28"/>
          <w:rtl w:val="0"/>
        </w:rPr>
        <w:t xml:space="preserve">Strategic Water Infrastructure Solutions: A Report on Real-World Responses to Federal Withdrawal</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This intelligence report synthesizes research on tangible, real-world solutions being implemented to address the systemic withdrawal of federal support for the U.S. water sector. Based on initiatives active between 2020 and August 2025, it provides concrete case studies that serve as a playbook for industry professionals. The report is oriented around finding solutions to the "knowledge vacuum," "infrastructure funding shock," and the risk of a "negative cascade" (including the "infrastructure death spiral" and a "two-tiered water system") as established in the foundational "Un-Charted Waters" analysis.</w:t>
      </w:r>
    </w:p>
    <w:p w:rsidR="00000000" w:rsidDel="00000000" w:rsidP="00000000" w:rsidRDefault="00000000" w:rsidRPr="00000000" w14:paraId="00000004">
      <w:pPr>
        <w:pStyle w:val="Heading3"/>
        <w:pBdr>
          <w:top w:space="0" w:sz="0" w:val="nil"/>
          <w:left w:space="0" w:sz="0" w:val="nil"/>
          <w:bottom w:space="0" w:sz="0" w:val="nil"/>
          <w:right w:space="0" w:sz="0" w:val="nil"/>
          <w:between w:space="0" w:sz="0" w:val="nil"/>
        </w:pBdr>
        <w:shd w:fill="auto" w:val="clear"/>
        <w:spacing w:before="0" w:lineRule="auto"/>
        <w:rPr>
          <w:b w:val="1"/>
          <w:bCs w:val="1"/>
          <w:i w:val="0"/>
          <w:iCs w:val="0"/>
          <w:sz w:val="28"/>
          <w:szCs w:val="28"/>
        </w:rPr>
      </w:pPr>
      <w:r w:rsidDel="00000000" w:rsidR="00000000" w:rsidRPr="00000000">
        <w:rPr>
          <w:b w:val="1"/>
          <w:bCs w:val="1"/>
          <w:i w:val="0"/>
          <w:iCs w:val="0"/>
          <w:sz w:val="28"/>
          <w:szCs w:val="28"/>
          <w:rtl w:val="0"/>
        </w:rPr>
        <w:t xml:space="preserve">Area A: The "Hyper-Competent State" &amp; Interstate Collaboration</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Case Study 1: California's State-Led Science &amp; Regulatory Initiative</w:t>
      </w:r>
    </w:p>
    <w:p w:rsidR="00000000" w:rsidDel="00000000" w:rsidP="00000000" w:rsidRDefault="00000000" w:rsidRPr="00000000" w14:paraId="00000006">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Initiative/Project Name:</w:t>
      </w:r>
      <w:r w:rsidDel="00000000" w:rsidR="00000000" w:rsidRPr="00000000">
        <w:rPr>
          <w:rtl w:val="0"/>
        </w:rPr>
        <w:t xml:space="preserve"> California's Multi-Agency PFAS Research and Regulation Program</w:t>
      </w:r>
    </w:p>
    <w:p w:rsidR="00000000" w:rsidDel="00000000" w:rsidP="00000000" w:rsidRDefault="00000000" w:rsidRPr="00000000" w14:paraId="00000007">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Lead Organization(s):</w:t>
      </w:r>
      <w:r w:rsidDel="00000000" w:rsidR="00000000" w:rsidRPr="00000000">
        <w:rPr>
          <w:rtl w:val="0"/>
        </w:rPr>
        <w:t xml:space="preserve"> California Office of Environmental Health Hazard Assessment (OEHHA), State Water Resources Control Board (SWRCB), CalEPA</w:t>
      </w:r>
    </w:p>
    <w:p w:rsidR="00000000" w:rsidDel="00000000" w:rsidP="00000000" w:rsidRDefault="00000000" w:rsidRPr="00000000" w14:paraId="00000008">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Problem Addressed:</w:t>
      </w:r>
      <w:r w:rsidDel="00000000" w:rsidR="00000000" w:rsidRPr="00000000">
        <w:rPr>
          <w:rtl w:val="0"/>
        </w:rPr>
        <w:t xml:space="preserve"> "Knowledge Vacuum" &amp; "Regulatory Chaos". With the elimination of the EPA's ORD and rescission of federal PFAS rules, a trusted authority for validating technology and setting health goals was lost.</w:t>
      </w:r>
    </w:p>
    <w:p w:rsidR="00000000" w:rsidDel="00000000" w:rsidP="00000000" w:rsidRDefault="00000000" w:rsidRPr="00000000" w14:paraId="00000009">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Solution Implemented:</w:t>
      </w:r>
      <w:r w:rsidDel="00000000" w:rsidR="00000000" w:rsidRPr="00000000">
        <w:rPr>
          <w:rtl w:val="0"/>
        </w:rPr>
        <w:t xml:space="preserve"> California operationalized the "Hyper-Competent State" model by leveraging its resources to create an independent scientific apparatus. OEHHA established its own stringent Public Health Goals (PHGs) for PFOA and PFOS, and the SWRCB conducts its own technology validation for PFAS monitoring and funds specialized research on state priorities like direct potable reuse.</w:t>
      </w:r>
    </w:p>
    <w:p w:rsidR="00000000" w:rsidDel="00000000" w:rsidP="00000000" w:rsidRDefault="00000000" w:rsidRPr="00000000" w14:paraId="0000000A">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Funding Model:</w:t>
      </w:r>
      <w:r w:rsidDel="00000000" w:rsidR="00000000" w:rsidRPr="00000000">
        <w:rPr>
          <w:rtl w:val="0"/>
        </w:rPr>
        <w:t xml:space="preserve"> State-level appropriations, bond measures (e.g., Proposition 1), and management of $11.4 billion in PFAS settlement funds.</w:t>
      </w:r>
    </w:p>
    <w:p w:rsidR="00000000" w:rsidDel="00000000" w:rsidP="00000000" w:rsidRDefault="00000000" w:rsidRPr="00000000" w14:paraId="0000000B">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Current Status &amp; Measurable Outcomes:</w:t>
      </w:r>
      <w:r w:rsidDel="00000000" w:rsidR="00000000" w:rsidRPr="00000000">
        <w:rPr>
          <w:rtl w:val="0"/>
        </w:rPr>
        <w:t xml:space="preserve"> OEHHA adopted ultra-stringent PHGs of 0.007 ppt for PFOA and 1 ppt for PFOS in April 2024. The state's monitoring program requires 384 public water systems to conduct quarterly testing, serving 9.7 million people.</w:t>
      </w:r>
    </w:p>
    <w:p w:rsidR="00000000" w:rsidDel="00000000" w:rsidP="00000000" w:rsidRDefault="00000000" w:rsidRPr="00000000" w14:paraId="0000000C">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Strategic Implication:</w:t>
      </w:r>
      <w:r w:rsidDel="00000000" w:rsidR="00000000" w:rsidRPr="00000000">
        <w:rPr>
          <w:rtl w:val="0"/>
        </w:rPr>
        <w:t xml:space="preserve"> This demonstrates that a well-resourced state can build a more agile and specialized scientific apparatus than the former centralized system, creating a blueprint for regional self-sufficiency.</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Case Study 2: Western States Water Council's Data Exchange (WaDE)</w:t>
      </w:r>
    </w:p>
    <w:p w:rsidR="00000000" w:rsidDel="00000000" w:rsidP="00000000" w:rsidRDefault="00000000" w:rsidRPr="00000000" w14:paraId="0000000E">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Initiative/Project Name:</w:t>
      </w:r>
      <w:r w:rsidDel="00000000" w:rsidR="00000000" w:rsidRPr="00000000">
        <w:rPr>
          <w:rtl w:val="0"/>
        </w:rPr>
        <w:t xml:space="preserve"> Water Data Exchange (WaDE) Program</w:t>
      </w:r>
    </w:p>
    <w:p w:rsidR="00000000" w:rsidDel="00000000" w:rsidP="00000000" w:rsidRDefault="00000000" w:rsidRPr="00000000" w14:paraId="0000000F">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Lead Organization(s):</w:t>
      </w:r>
      <w:r w:rsidDel="00000000" w:rsidR="00000000" w:rsidRPr="00000000">
        <w:rPr>
          <w:rtl w:val="0"/>
        </w:rPr>
        <w:t xml:space="preserve"> Western States Water Council (WSWC), with 18 member states, and the Internet of Water Coalition.</w:t>
      </w:r>
    </w:p>
    <w:p w:rsidR="00000000" w:rsidDel="00000000" w:rsidP="00000000" w:rsidRDefault="00000000" w:rsidRPr="00000000" w14:paraId="00000010">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Problem Addressed:</w:t>
      </w:r>
      <w:r w:rsidDel="00000000" w:rsidR="00000000" w:rsidRPr="00000000">
        <w:rPr>
          <w:rtl w:val="0"/>
        </w:rPr>
        <w:t xml:space="preserve"> "Knowledge Vacuum". A lack of federal coordination created the need for a regional data sharing platform to manage water rights and use across state lines.</w:t>
      </w:r>
    </w:p>
    <w:p w:rsidR="00000000" w:rsidDel="00000000" w:rsidP="00000000" w:rsidRDefault="00000000" w:rsidRPr="00000000" w14:paraId="00000011">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Solution Implemented:</w:t>
      </w:r>
      <w:r w:rsidDel="00000000" w:rsidR="00000000" w:rsidRPr="00000000">
        <w:rPr>
          <w:rtl w:val="0"/>
        </w:rPr>
        <w:t xml:space="preserve"> A standardized data exchange platform built on Microsoft Azure that allows sharing of water rights, allocation, and use data. WaDE uses common vocabularies and data schemas to make disparate state data interoperable, accessible through the WestDAAT user-facing dashboard launched in 2023.</w:t>
      </w:r>
    </w:p>
    <w:p w:rsidR="00000000" w:rsidDel="00000000" w:rsidP="00000000" w:rsidRDefault="00000000" w:rsidRPr="00000000" w14:paraId="00000012">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Funding Model:</w:t>
      </w:r>
      <w:r w:rsidDel="00000000" w:rsidR="00000000" w:rsidRPr="00000000">
        <w:rPr>
          <w:rtl w:val="0"/>
        </w:rPr>
        <w:t xml:space="preserve"> A blend of multi-state membership fees, federal grants (DOE, EPA, Bureau of Reclamation), and philanthropic funding (Moore Foundation, Mitchell Foundation, S.D. Bechtel Jr. Foundation).</w:t>
      </w:r>
    </w:p>
    <w:p w:rsidR="00000000" w:rsidDel="00000000" w:rsidP="00000000" w:rsidRDefault="00000000" w:rsidRPr="00000000" w14:paraId="00000013">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Current Status &amp; Measurable Outcomes:</w:t>
      </w:r>
      <w:r w:rsidDel="00000000" w:rsidR="00000000" w:rsidRPr="00000000">
        <w:rPr>
          <w:rtl w:val="0"/>
        </w:rPr>
        <w:t xml:space="preserve"> The operational platform serves 18 western states, creating standardized access to 1.7 million active water rights, enabling regional analysis previously impossible due to data fragmentation.</w:t>
      </w:r>
    </w:p>
    <w:p w:rsidR="00000000" w:rsidDel="00000000" w:rsidP="00000000" w:rsidRDefault="00000000" w:rsidRPr="00000000" w14:paraId="00000014">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Strategic Implication:</w:t>
      </w:r>
      <w:r w:rsidDel="00000000" w:rsidR="00000000" w:rsidRPr="00000000">
        <w:rPr>
          <w:rtl w:val="0"/>
        </w:rPr>
        <w:t xml:space="preserve"> WaDE is a proven model for regional data sharing that operates independently of federal infrastructure, providing a template for other regions to counter data fragmentation.</w:t>
      </w:r>
    </w:p>
    <w:p w:rsidR="00000000" w:rsidDel="00000000" w:rsidP="00000000" w:rsidRDefault="00000000" w:rsidRPr="00000000" w14:paraId="00000015">
      <w:pPr>
        <w:pStyle w:val="Heading3"/>
        <w:pBdr>
          <w:top w:space="0" w:sz="0" w:val="nil"/>
          <w:left w:space="0" w:sz="0" w:val="nil"/>
          <w:bottom w:space="0" w:sz="0" w:val="nil"/>
          <w:right w:space="0" w:sz="0" w:val="nil"/>
          <w:between w:space="0" w:sz="0" w:val="nil"/>
        </w:pBdr>
        <w:shd w:fill="auto" w:val="clear"/>
        <w:rPr>
          <w:b w:val="1"/>
          <w:bCs w:val="1"/>
          <w:i w:val="0"/>
          <w:iCs w:val="0"/>
          <w:sz w:val="28"/>
          <w:szCs w:val="28"/>
        </w:rPr>
      </w:pPr>
      <w:r w:rsidDel="00000000" w:rsidR="00000000" w:rsidRPr="00000000">
        <w:rPr>
          <w:b w:val="1"/>
          <w:bCs w:val="1"/>
          <w:i w:val="0"/>
          <w:iCs w:val="0"/>
          <w:sz w:val="28"/>
          <w:szCs w:val="28"/>
          <w:rtl w:val="0"/>
        </w:rPr>
        <w:t xml:space="preserve">Area B: The New Data Ecosystem &amp; Public-Private Partnerships</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Case Study 3: California Data Collaborative (CaDC)</w:t>
      </w:r>
    </w:p>
    <w:p w:rsidR="00000000" w:rsidDel="00000000" w:rsidP="00000000" w:rsidRDefault="00000000" w:rsidRPr="00000000" w14:paraId="00000017">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Initiative/Project Name:</w:t>
      </w:r>
      <w:r w:rsidDel="00000000" w:rsidR="00000000" w:rsidRPr="00000000">
        <w:rPr>
          <w:rtl w:val="0"/>
        </w:rPr>
        <w:t xml:space="preserve"> California Data Collaborative (CaDC)</w:t>
      </w:r>
    </w:p>
    <w:p w:rsidR="00000000" w:rsidDel="00000000" w:rsidP="00000000" w:rsidRDefault="00000000" w:rsidRPr="00000000" w14:paraId="00000018">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Lead Organization(s):</w:t>
      </w:r>
      <w:r w:rsidDel="00000000" w:rsidR="00000000" w:rsidRPr="00000000">
        <w:rPr>
          <w:rtl w:val="0"/>
        </w:rPr>
        <w:t xml:space="preserve"> A 501(c)(3) non-profit partnership of over 19 California water utilities, including the Metropolitan Water District of Southern California.</w:t>
      </w:r>
    </w:p>
    <w:p w:rsidR="00000000" w:rsidDel="00000000" w:rsidP="00000000" w:rsidRDefault="00000000" w:rsidRPr="00000000" w14:paraId="00000019">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Problem Addressed:</w:t>
      </w:r>
      <w:r w:rsidDel="00000000" w:rsidR="00000000" w:rsidRPr="00000000">
        <w:rPr>
          <w:rtl w:val="0"/>
        </w:rPr>
        <w:t xml:space="preserve"> "Knowledge Vacuum" / High Cost of Analytics. The CaDC was formed to create a "third option" beyond making massive new investments in private data systems or operating with reduced analytical capabilities.</w:t>
      </w:r>
    </w:p>
    <w:p w:rsidR="00000000" w:rsidDel="00000000" w:rsidP="00000000" w:rsidRDefault="00000000" w:rsidRPr="00000000" w14:paraId="0000001A">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Solution Implemented:</w:t>
      </w:r>
      <w:r w:rsidDel="00000000" w:rsidR="00000000" w:rsidRPr="00000000">
        <w:rPr>
          <w:rtl w:val="0"/>
        </w:rPr>
        <w:t xml:space="preserve"> The CaDC functions as a "Utility Data Trust," where members pool resources via subscription fees to fund a shared data science and software development team. This provides access to a secure, web-based platform with powerful tools to help with state compliance and analyze smart meter data.</w:t>
      </w:r>
    </w:p>
    <w:p w:rsidR="00000000" w:rsidDel="00000000" w:rsidP="00000000" w:rsidRDefault="00000000" w:rsidRPr="00000000" w14:paraId="0000001B">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Funding Model:</w:t>
      </w:r>
      <w:r w:rsidDel="00000000" w:rsidR="00000000" w:rsidRPr="00000000">
        <w:rPr>
          <w:rtl w:val="0"/>
        </w:rPr>
        <w:t xml:space="preserve"> Annual subscription fees from member utilities, supplemented by strategic partnerships and grants.</w:t>
      </w:r>
    </w:p>
    <w:p w:rsidR="00000000" w:rsidDel="00000000" w:rsidP="00000000" w:rsidRDefault="00000000" w:rsidRPr="00000000" w14:paraId="0000001C">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Current Status &amp; Measurable Outcomes:</w:t>
      </w:r>
      <w:r w:rsidDel="00000000" w:rsidR="00000000" w:rsidRPr="00000000">
        <w:rPr>
          <w:rtl w:val="0"/>
        </w:rPr>
        <w:t xml:space="preserve"> The growing, sustainable organization has successfully deployed multiple data tools, with documented outcomes including $20 million in avoided infrastructure costs at Moulton Niguel Water District through demand forecasting.</w:t>
      </w:r>
    </w:p>
    <w:p w:rsidR="00000000" w:rsidDel="00000000" w:rsidP="00000000" w:rsidRDefault="00000000" w:rsidRPr="00000000" w14:paraId="0000001D">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Strategic Implication:</w:t>
      </w:r>
      <w:r w:rsidDel="00000000" w:rsidR="00000000" w:rsidRPr="00000000">
        <w:rPr>
          <w:rtl w:val="0"/>
        </w:rPr>
        <w:t xml:space="preserve"> The CaDC is a proven, financially sustainable model for utilities to collaboratively overcome the data chasm, transforming a competitive burden into a shared asset.</w:t>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Case Study 4: Google's Direct Investment in Public Water Infrastructure</w:t>
      </w:r>
    </w:p>
    <w:p w:rsidR="00000000" w:rsidDel="00000000" w:rsidP="00000000" w:rsidRDefault="00000000" w:rsidRPr="00000000" w14:paraId="0000001F">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Initiative/Project Name:</w:t>
      </w:r>
      <w:r w:rsidDel="00000000" w:rsidR="00000000" w:rsidRPr="00000000">
        <w:rPr>
          <w:rtl w:val="0"/>
        </w:rPr>
        <w:t xml:space="preserve"> Google-The Dalles Public Water System Infrastructure Upgrade</w:t>
      </w:r>
    </w:p>
    <w:p w:rsidR="00000000" w:rsidDel="00000000" w:rsidP="00000000" w:rsidRDefault="00000000" w:rsidRPr="00000000" w14:paraId="00000020">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Lead Organization(s):</w:t>
      </w:r>
      <w:r w:rsidDel="00000000" w:rsidR="00000000" w:rsidRPr="00000000">
        <w:rPr>
          <w:rtl w:val="0"/>
        </w:rPr>
        <w:t xml:space="preserve"> Google LLC and The City of The Dalles, Oregon.</w:t>
      </w:r>
    </w:p>
    <w:p w:rsidR="00000000" w:rsidDel="00000000" w:rsidP="00000000" w:rsidRDefault="00000000" w:rsidRPr="00000000" w14:paraId="00000021">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Problem Addressed:</w:t>
      </w:r>
      <w:r w:rsidDel="00000000" w:rsidR="00000000" w:rsidRPr="00000000">
        <w:rPr>
          <w:rtl w:val="0"/>
        </w:rPr>
        <w:t xml:space="preserve"> "Infrastructure Funding Shock". The partnership addressed a smaller municipality's need to fund essential upgrades to support new industrial growth from Google's data centers.</w:t>
      </w:r>
    </w:p>
    <w:p w:rsidR="00000000" w:rsidDel="00000000" w:rsidP="00000000" w:rsidRDefault="00000000" w:rsidRPr="00000000" w14:paraId="00000022">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Solution Implemented:</w:t>
      </w:r>
      <w:r w:rsidDel="00000000" w:rsidR="00000000" w:rsidRPr="00000000">
        <w:rPr>
          <w:rtl w:val="0"/>
        </w:rPr>
        <w:t xml:space="preserve"> A direct public-private partnership where Google funded, constructed, and transferred ownership of critical public water infrastructure to the city in exchange for water resources. Projects included new wells, reservoirs, and an Aquifer Storage and Recovery (ASR) system.</w:t>
      </w:r>
    </w:p>
    <w:p w:rsidR="00000000" w:rsidDel="00000000" w:rsidP="00000000" w:rsidRDefault="00000000" w:rsidRPr="00000000" w14:paraId="00000023">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Funding Model:</w:t>
      </w:r>
      <w:r w:rsidDel="00000000" w:rsidR="00000000" w:rsidRPr="00000000">
        <w:rPr>
          <w:rtl w:val="0"/>
        </w:rPr>
        <w:t xml:space="preserve"> Direct private investment and asset transfer, with a combined contribution of $28.5 million from Google toward public infrastructure.</w:t>
      </w:r>
    </w:p>
    <w:p w:rsidR="00000000" w:rsidDel="00000000" w:rsidP="00000000" w:rsidRDefault="00000000" w:rsidRPr="00000000" w14:paraId="00000024">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Current Status &amp; Measurable Outcomes:</w:t>
      </w:r>
      <w:r w:rsidDel="00000000" w:rsidR="00000000" w:rsidRPr="00000000">
        <w:rPr>
          <w:rtl w:val="0"/>
        </w:rPr>
        <w:t xml:space="preserve"> Infrastructure projects are complete and transferred to city ownership, enabling the city to upgrade its system while Google secured water for its operations.</w:t>
      </w:r>
    </w:p>
    <w:p w:rsidR="00000000" w:rsidDel="00000000" w:rsidP="00000000" w:rsidRDefault="00000000" w:rsidRPr="00000000" w14:paraId="00000025">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Strategic Implication:</w:t>
      </w:r>
      <w:r w:rsidDel="00000000" w:rsidR="00000000" w:rsidRPr="00000000">
        <w:rPr>
          <w:rtl w:val="0"/>
        </w:rPr>
        <w:t xml:space="preserve"> This is a potent but potentially inequitable funding model that highlights the risk of the "two-tiered water system," as it is only available to communities possessing a resource a large corporation wants.</w:t>
      </w:r>
    </w:p>
    <w:p w:rsidR="00000000" w:rsidDel="00000000" w:rsidP="00000000" w:rsidRDefault="00000000" w:rsidRPr="00000000" w14:paraId="00000026">
      <w:pPr>
        <w:pStyle w:val="Heading3"/>
        <w:pBdr>
          <w:top w:space="0" w:sz="0" w:val="nil"/>
          <w:left w:space="0" w:sz="0" w:val="nil"/>
          <w:bottom w:space="0" w:sz="0" w:val="nil"/>
          <w:right w:space="0" w:sz="0" w:val="nil"/>
          <w:between w:space="0" w:sz="0" w:val="nil"/>
        </w:pBdr>
        <w:shd w:fill="auto" w:val="clear"/>
        <w:rPr>
          <w:b w:val="1"/>
          <w:bCs w:val="1"/>
          <w:i w:val="0"/>
          <w:iCs w:val="0"/>
          <w:sz w:val="28"/>
          <w:szCs w:val="28"/>
        </w:rPr>
      </w:pPr>
      <w:r w:rsidDel="00000000" w:rsidR="00000000" w:rsidRPr="00000000">
        <w:rPr>
          <w:b w:val="1"/>
          <w:bCs w:val="1"/>
          <w:i w:val="0"/>
          <w:iCs w:val="0"/>
          <w:sz w:val="28"/>
          <w:szCs w:val="28"/>
          <w:rtl w:val="0"/>
        </w:rPr>
        <w:t xml:space="preserve">Area C: Applied Technology Case Studies (AI &amp; Digital Twins)</w:t>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Case Study 5: City of South Bend's Smart Sewer Network</w:t>
      </w:r>
    </w:p>
    <w:p w:rsidR="00000000" w:rsidDel="00000000" w:rsidP="00000000" w:rsidRDefault="00000000" w:rsidRPr="00000000" w14:paraId="00000028">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Initiative/Project Name:</w:t>
      </w:r>
      <w:r w:rsidDel="00000000" w:rsidR="00000000" w:rsidRPr="00000000">
        <w:rPr>
          <w:rtl w:val="0"/>
        </w:rPr>
        <w:t xml:space="preserve"> Smart Sewer Network Optimization via Digital Twin</w:t>
      </w:r>
    </w:p>
    <w:p w:rsidR="00000000" w:rsidDel="00000000" w:rsidP="00000000" w:rsidRDefault="00000000" w:rsidRPr="00000000" w14:paraId="00000029">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Lead Organization(s):</w:t>
      </w:r>
      <w:r w:rsidDel="00000000" w:rsidR="00000000" w:rsidRPr="00000000">
        <w:rPr>
          <w:rtl w:val="0"/>
        </w:rPr>
        <w:t xml:space="preserve"> City of South Bend, Indiana, and Xylem Inc..</w:t>
      </w:r>
    </w:p>
    <w:p w:rsidR="00000000" w:rsidDel="00000000" w:rsidP="00000000" w:rsidRDefault="00000000" w:rsidRPr="00000000" w14:paraId="0000002A">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Problem Addressed:</w:t>
      </w:r>
      <w:r w:rsidDel="00000000" w:rsidR="00000000" w:rsidRPr="00000000">
        <w:rPr>
          <w:rtl w:val="0"/>
        </w:rPr>
        <w:t xml:space="preserve"> "Infrastructure Death Spiral". The city was under a federal consent decree to address combined sewer overflows (CSOs), and the conventional gray infrastructure solution was financially crippling.</w:t>
      </w:r>
    </w:p>
    <w:p w:rsidR="00000000" w:rsidDel="00000000" w:rsidP="00000000" w:rsidRDefault="00000000" w:rsidRPr="00000000" w14:paraId="0000002B">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Solution Implemented:</w:t>
      </w:r>
      <w:r w:rsidDel="00000000" w:rsidR="00000000" w:rsidRPr="00000000">
        <w:rPr>
          <w:rtl w:val="0"/>
        </w:rPr>
        <w:t xml:space="preserve"> The city deployed an operational digital twin of its sewer network using the Xylem Vue platform. The system uses real-time data from over 165 sensors to predict how the network will react to weather and automatically adjusts gates and valves to prevent overflows.</w:t>
      </w:r>
    </w:p>
    <w:p w:rsidR="00000000" w:rsidDel="00000000" w:rsidP="00000000" w:rsidRDefault="00000000" w:rsidRPr="00000000" w14:paraId="0000002C">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Funding Model:</w:t>
      </w:r>
      <w:r w:rsidDel="00000000" w:rsidR="00000000" w:rsidRPr="00000000">
        <w:rPr>
          <w:rtl w:val="0"/>
        </w:rPr>
        <w:t xml:space="preserve"> Utility capital investment in technology, financed through local rates and bonds, which allowed the city to avoid a much larger capital expenditure.</w:t>
      </w:r>
    </w:p>
    <w:p w:rsidR="00000000" w:rsidDel="00000000" w:rsidP="00000000" w:rsidRDefault="00000000" w:rsidRPr="00000000" w14:paraId="0000002D">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Current Status &amp; Measurable Outcomes:</w:t>
      </w:r>
      <w:r w:rsidDel="00000000" w:rsidR="00000000" w:rsidRPr="00000000">
        <w:rPr>
          <w:rtl w:val="0"/>
        </w:rPr>
        <w:t xml:space="preserve"> The project produced dramatic results, including an estimated $400 million in avoided capital expenditures, a reduction in CSO volume by over 80%, and $1.5 million in annual O&amp;M savings.</w:t>
      </w:r>
    </w:p>
    <w:p w:rsidR="00000000" w:rsidDel="00000000" w:rsidP="00000000" w:rsidRDefault="00000000" w:rsidRPr="00000000" w14:paraId="0000002E">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Strategic Implication:</w:t>
      </w:r>
      <w:r w:rsidDel="00000000" w:rsidR="00000000" w:rsidRPr="00000000">
        <w:rPr>
          <w:rtl w:val="0"/>
        </w:rPr>
        <w:t xml:space="preserve"> This is the premier example of technology as capital substitution, demonstrating a paradigm shift that allows utilities to break the death spiral by optimizing existing assets instead of building new ones.</w:t>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Case Study 6: Mid-Atlantic Utility AI-Based Pipeline Analysis</w:t>
      </w:r>
    </w:p>
    <w:p w:rsidR="00000000" w:rsidDel="00000000" w:rsidP="00000000" w:rsidRDefault="00000000" w:rsidRPr="00000000" w14:paraId="00000030">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Initiative/Project Name:</w:t>
      </w:r>
      <w:r w:rsidDel="00000000" w:rsidR="00000000" w:rsidRPr="00000000">
        <w:rPr>
          <w:rtl w:val="0"/>
        </w:rPr>
        <w:t xml:space="preserve"> AI-Based Pipeline Risk Analysis</w:t>
      </w:r>
    </w:p>
    <w:p w:rsidR="00000000" w:rsidDel="00000000" w:rsidP="00000000" w:rsidRDefault="00000000" w:rsidRPr="00000000" w14:paraId="00000031">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Lead Organization(s):</w:t>
      </w:r>
      <w:r w:rsidDel="00000000" w:rsidR="00000000" w:rsidRPr="00000000">
        <w:rPr>
          <w:rtl w:val="0"/>
        </w:rPr>
        <w:t xml:space="preserve"> An unnamed Mid-Atlantic utility serving over 1 million people, Xylem, and Esri.</w:t>
      </w:r>
    </w:p>
    <w:p w:rsidR="00000000" w:rsidDel="00000000" w:rsidP="00000000" w:rsidRDefault="00000000" w:rsidRPr="00000000" w14:paraId="00000032">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Problem Addressed:</w:t>
      </w:r>
      <w:r w:rsidDel="00000000" w:rsidR="00000000" w:rsidRPr="00000000">
        <w:rPr>
          <w:rtl w:val="0"/>
        </w:rPr>
        <w:t xml:space="preserve"> "Infrastructure Death Spiral". The utility needed to move from reactive to proactive management of its aging pipeline network to prevent costly failures.</w:t>
      </w:r>
    </w:p>
    <w:p w:rsidR="00000000" w:rsidDel="00000000" w:rsidP="00000000" w:rsidRDefault="00000000" w:rsidRPr="00000000" w14:paraId="00000033">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Solution Implemented:</w:t>
      </w:r>
      <w:r w:rsidDel="00000000" w:rsidR="00000000" w:rsidRPr="00000000">
        <w:rPr>
          <w:rtl w:val="0"/>
        </w:rPr>
        <w:t xml:space="preserve"> The utility deployed the first AI pipeline analysis model in North America, integrating Xylem's machine learning solution with its ArcGIS Enterprise systems. The model combines the probability and consequence of failure to reliably predict future breaks.</w:t>
      </w:r>
    </w:p>
    <w:p w:rsidR="00000000" w:rsidDel="00000000" w:rsidP="00000000" w:rsidRDefault="00000000" w:rsidRPr="00000000" w14:paraId="00000034">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Funding Model:</w:t>
      </w:r>
      <w:r w:rsidDel="00000000" w:rsidR="00000000" w:rsidRPr="00000000">
        <w:rPr>
          <w:rtl w:val="0"/>
        </w:rPr>
        <w:t xml:space="preserve"> Utility operational budget with ROI generated from cost savings.</w:t>
      </w:r>
    </w:p>
    <w:p w:rsidR="00000000" w:rsidDel="00000000" w:rsidP="00000000" w:rsidRDefault="00000000" w:rsidRPr="00000000" w14:paraId="00000035">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Current Status &amp; Measurable Outcomes:</w:t>
      </w:r>
      <w:r w:rsidDel="00000000" w:rsidR="00000000" w:rsidRPr="00000000">
        <w:rPr>
          <w:rtl w:val="0"/>
        </w:rPr>
        <w:t xml:space="preserve"> The deployment resulted in a $70 million reduction in pipe replacement costs and a 4X reduction in pipeline failures.</w:t>
      </w:r>
    </w:p>
    <w:p w:rsidR="00000000" w:rsidDel="00000000" w:rsidP="00000000" w:rsidRDefault="00000000" w:rsidRPr="00000000" w14:paraId="00000036">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Strategic Implication:</w:t>
      </w:r>
      <w:r w:rsidDel="00000000" w:rsidR="00000000" w:rsidRPr="00000000">
        <w:rPr>
          <w:rtl w:val="0"/>
        </w:rPr>
        <w:t xml:space="preserve"> This case proves that AI-powered predictive analytics can deliver a significant, quantifiable ROI by enabling utilities to target maintenance resources with surgical precision, directly countering the risk of cascading infrastructure failure.</w:t>
      </w:r>
    </w:p>
    <w:p w:rsidR="00000000" w:rsidDel="00000000" w:rsidP="00000000" w:rsidRDefault="00000000" w:rsidRPr="00000000" w14:paraId="00000037">
      <w:pPr>
        <w:pStyle w:val="Heading3"/>
        <w:pBdr>
          <w:top w:space="0" w:sz="0" w:val="nil"/>
          <w:left w:space="0" w:sz="0" w:val="nil"/>
          <w:bottom w:space="0" w:sz="0" w:val="nil"/>
          <w:right w:space="0" w:sz="0" w:val="nil"/>
          <w:between w:space="0" w:sz="0" w:val="nil"/>
        </w:pBdr>
        <w:shd w:fill="auto" w:val="clear"/>
        <w:rPr>
          <w:b w:val="1"/>
          <w:bCs w:val="1"/>
          <w:i w:val="0"/>
          <w:iCs w:val="0"/>
          <w:sz w:val="28"/>
          <w:szCs w:val="28"/>
        </w:rPr>
      </w:pPr>
      <w:r w:rsidDel="00000000" w:rsidR="00000000" w:rsidRPr="00000000">
        <w:rPr>
          <w:b w:val="1"/>
          <w:bCs w:val="1"/>
          <w:i w:val="0"/>
          <w:iCs w:val="0"/>
          <w:sz w:val="28"/>
          <w:szCs w:val="28"/>
          <w:rtl w:val="0"/>
        </w:rPr>
        <w:t xml:space="preserve">Area D: Innovative Governance &amp; Funding Models</w:t>
      </w:r>
    </w:p>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Case Study 7: DC Water &amp; Buffalo Sewer Authority Environmental Impact Bonds (EIBs)</w:t>
      </w:r>
    </w:p>
    <w:p w:rsidR="00000000" w:rsidDel="00000000" w:rsidP="00000000" w:rsidRDefault="00000000" w:rsidRPr="00000000" w14:paraId="00000039">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Initiative/Project Name:</w:t>
      </w:r>
      <w:r w:rsidDel="00000000" w:rsidR="00000000" w:rsidRPr="00000000">
        <w:rPr>
          <w:rtl w:val="0"/>
        </w:rPr>
        <w:t xml:space="preserve"> Environmental Impact Bond (EIB) for Green Infrastructure Financing</w:t>
      </w:r>
    </w:p>
    <w:p w:rsidR="00000000" w:rsidDel="00000000" w:rsidP="00000000" w:rsidRDefault="00000000" w:rsidRPr="00000000" w14:paraId="0000003A">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Lead Organization(s):</w:t>
      </w:r>
      <w:r w:rsidDel="00000000" w:rsidR="00000000" w:rsidRPr="00000000">
        <w:rPr>
          <w:rtl w:val="0"/>
        </w:rPr>
        <w:t xml:space="preserve"> DC Water; Buffalo Sewer Authority (BSA); Quantified Ventures; Goldman Sachs Urban Investment Group; Calvert Impact Capital.</w:t>
      </w:r>
    </w:p>
    <w:p w:rsidR="00000000" w:rsidDel="00000000" w:rsidP="00000000" w:rsidRDefault="00000000" w:rsidRPr="00000000" w14:paraId="0000003B">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Problem Addressed:</w:t>
      </w:r>
      <w:r w:rsidDel="00000000" w:rsidR="00000000" w:rsidRPr="00000000">
        <w:rPr>
          <w:rtl w:val="0"/>
        </w:rPr>
        <w:t xml:space="preserve"> "Infrastructure Funding Shock" and the performance risk associated with investing in innovative but unproven green infrastructure (GI) to meet regulatory mandates.</w:t>
      </w:r>
    </w:p>
    <w:p w:rsidR="00000000" w:rsidDel="00000000" w:rsidP="00000000" w:rsidRDefault="00000000" w:rsidRPr="00000000" w14:paraId="0000003C">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Solution Implemented:</w:t>
      </w:r>
      <w:r w:rsidDel="00000000" w:rsidR="00000000" w:rsidRPr="00000000">
        <w:rPr>
          <w:rtl w:val="0"/>
        </w:rPr>
        <w:t xml:space="preserve"> A sophisticated blended finance model that raises private capital while linking financial returns to the achievement of measurable environmental outcomes. This structure transfers performance risk from the utility to private investors. DC Water's pioneering $25M EIB and Buffalo's larger $54M EIB successfully funded large-scale GI projects.</w:t>
      </w:r>
    </w:p>
    <w:p w:rsidR="00000000" w:rsidDel="00000000" w:rsidP="00000000" w:rsidRDefault="00000000" w:rsidRPr="00000000" w14:paraId="0000003D">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Funding Model:</w:t>
      </w:r>
      <w:r w:rsidDel="00000000" w:rsidR="00000000" w:rsidRPr="00000000">
        <w:rPr>
          <w:rtl w:val="0"/>
        </w:rPr>
        <w:t xml:space="preserve"> Blended Finance: A tax-exempt municipal bond with an outcomes-based, private investor risk-sharing component.</w:t>
      </w:r>
    </w:p>
    <w:p w:rsidR="00000000" w:rsidDel="00000000" w:rsidP="00000000" w:rsidRDefault="00000000" w:rsidRPr="00000000" w14:paraId="0000003E">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Current Status &amp; Measurable Outcomes:</w:t>
      </w:r>
      <w:r w:rsidDel="00000000" w:rsidR="00000000" w:rsidRPr="00000000">
        <w:rPr>
          <w:rtl w:val="0"/>
        </w:rPr>
        <w:t xml:space="preserve"> DC Water's EIB successfully completed, meeting its performance targets. Buffalo's $54 million EIB was 8.6 times oversubscribed, demonstrating powerful investor demand, and is funding an accelerated pace of GI installation.</w:t>
      </w:r>
    </w:p>
    <w:p w:rsidR="00000000" w:rsidDel="00000000" w:rsidP="00000000" w:rsidRDefault="00000000" w:rsidRPr="00000000" w14:paraId="0000003F">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Strategic Implication:</w:t>
      </w:r>
      <w:r w:rsidDel="00000000" w:rsidR="00000000" w:rsidRPr="00000000">
        <w:rPr>
          <w:rtl w:val="0"/>
        </w:rPr>
        <w:t xml:space="preserve"> The EIB is a proven, powerful financial tool that enables utilities to de-risk innovation, providing a critical pathway to pilot and scale the cost-saving technologies needed to survive in the post-federal era.</w:t>
      </w:r>
    </w:p>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Case Study 8: Hampton Roads Sanitation District's (HRSD) Blended Finance Strategy</w:t>
      </w:r>
    </w:p>
    <w:p w:rsidR="00000000" w:rsidDel="00000000" w:rsidP="00000000" w:rsidRDefault="00000000" w:rsidRPr="00000000" w14:paraId="00000041">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Initiative/Project Name:</w:t>
      </w:r>
      <w:r w:rsidDel="00000000" w:rsidR="00000000" w:rsidRPr="00000000">
        <w:rPr>
          <w:rtl w:val="0"/>
        </w:rPr>
        <w:t xml:space="preserve"> Sustainable Water Infrastructure for Tomorrow (SWIFT) Program</w:t>
      </w:r>
    </w:p>
    <w:p w:rsidR="00000000" w:rsidDel="00000000" w:rsidP="00000000" w:rsidRDefault="00000000" w:rsidRPr="00000000" w14:paraId="00000042">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Lead Organization(s):</w:t>
      </w:r>
      <w:r w:rsidDel="00000000" w:rsidR="00000000" w:rsidRPr="00000000">
        <w:rPr>
          <w:rtl w:val="0"/>
        </w:rPr>
        <w:t xml:space="preserve"> Hampton Roads Sanitation District (HRSD), a regional wastewater utility in southeast Virginia.</w:t>
      </w:r>
    </w:p>
    <w:p w:rsidR="00000000" w:rsidDel="00000000" w:rsidP="00000000" w:rsidRDefault="00000000" w:rsidRPr="00000000" w14:paraId="00000043">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Problem Addressed:</w:t>
      </w:r>
      <w:r w:rsidDel="00000000" w:rsidR="00000000" w:rsidRPr="00000000">
        <w:rPr>
          <w:rtl w:val="0"/>
        </w:rPr>
        <w:t xml:space="preserve"> "Infrastructure Funding Shock". The need to finance a multi-billion-dollar capital program to meet stringent nutrient reduction requirements and address regional water security challenges.</w:t>
      </w:r>
    </w:p>
    <w:p w:rsidR="00000000" w:rsidDel="00000000" w:rsidP="00000000" w:rsidRDefault="00000000" w:rsidRPr="00000000" w14:paraId="00000044">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Solution Implemented:</w:t>
      </w:r>
      <w:r w:rsidDel="00000000" w:rsidR="00000000" w:rsidRPr="00000000">
        <w:rPr>
          <w:rtl w:val="0"/>
        </w:rPr>
        <w:t xml:space="preserve"> HRSD developed a proactive and sophisticated blended finance strategy, securing a $1.3 billion master agreement with the EPA's Water Infrastructure Finance and Innovation Act (WIFIA) loan program. This federal loan was blended with state (SRF) and local funding sources to cover the $2.9 billion program cost.</w:t>
      </w:r>
    </w:p>
    <w:p w:rsidR="00000000" w:rsidDel="00000000" w:rsidP="00000000" w:rsidRDefault="00000000" w:rsidRPr="00000000" w14:paraId="00000045">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Funding Model:</w:t>
      </w:r>
      <w:r w:rsidDel="00000000" w:rsidR="00000000" w:rsidRPr="00000000">
        <w:rPr>
          <w:rtl w:val="0"/>
        </w:rPr>
        <w:t xml:space="preserve"> Blended Finance, strategically combining a large-scale Federal Loan (WIFIA), a State Loan (SRF), and local utility revenues.</w:t>
      </w:r>
    </w:p>
    <w:p w:rsidR="00000000" w:rsidDel="00000000" w:rsidP="00000000" w:rsidRDefault="00000000" w:rsidRPr="00000000" w14:paraId="00000046">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Current Status &amp; Measurable Outcomes:</w:t>
      </w:r>
      <w:r w:rsidDel="00000000" w:rsidR="00000000" w:rsidRPr="00000000">
        <w:rPr>
          <w:rtl w:val="0"/>
        </w:rPr>
        <w:t xml:space="preserve"> The program is well underway, with the WIFIA financing alone estimated to save HRSD ratepayers $211.5 million in interest costs. The program will reduce surface water discharge to the Chesapeake Bay watershed by approximately 90%.</w:t>
      </w:r>
    </w:p>
    <w:p w:rsidR="00000000" w:rsidDel="00000000" w:rsidP="00000000" w:rsidRDefault="00000000" w:rsidRPr="00000000" w14:paraId="00000047">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Strategic Implication:</w:t>
      </w:r>
      <w:r w:rsidDel="00000000" w:rsidR="00000000" w:rsidRPr="00000000">
        <w:rPr>
          <w:rtl w:val="0"/>
        </w:rPr>
        <w:t xml:space="preserve"> HRSD provides the premier case study for how a well-managed utility can thrive in a post-grant environment. It shows that federal </w:t>
      </w:r>
      <w:r w:rsidDel="00000000" w:rsidR="00000000" w:rsidRPr="00000000">
        <w:rPr>
          <w:i w:val="1"/>
          <w:iCs w:val="1"/>
          <w:rtl w:val="0"/>
        </w:rPr>
        <w:t xml:space="preserve">financing</w:t>
      </w:r>
      <w:r w:rsidDel="00000000" w:rsidR="00000000" w:rsidRPr="00000000">
        <w:rPr>
          <w:rtl w:val="0"/>
        </w:rPr>
        <w:t xml:space="preserve"> tools like WIFIA remain a cornerstone of funding for utilities with the financial sophistication to blend them with state and local sources.</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