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Water Utility Strategic Readiness Assessment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Rate each statement from 1–5 (1 = Not at all, 5 = Fully achieved). Add up your scores for each section and see your total readiness score below.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6.4204263758056"/>
        <w:gridCol w:w="5141.735250371839"/>
        <w:gridCol w:w="408.368864650471"/>
        <w:gridCol w:w="408.368864650471"/>
        <w:gridCol w:w="408.368864650471"/>
        <w:gridCol w:w="408.368864650471"/>
        <w:gridCol w:w="408.368864650471"/>
        <w:tblGridChange w:id="0">
          <w:tblGrid>
            <w:gridCol w:w="2176.4204263758056"/>
            <w:gridCol w:w="5141.735250371839"/>
            <w:gridCol w:w="408.368864650471"/>
            <w:gridCol w:w="408.368864650471"/>
            <w:gridCol w:w="408.368864650471"/>
            <w:gridCol w:w="408.368864650471"/>
            <w:gridCol w:w="408.36886465047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Regional Self-Reliance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We have co-funded at least one research project with another utility or academic partner in the past 3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We regularly provide data or technical recommendations that influence state policy decisions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We could maintain water quality standards for 12+ months without state or federal technical assistance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We collaborate with at least 3 peer utilities on shared operational or planning challenges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Collaboration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We can produce 5 years of operational data in a standard format within 48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We have formal data-sharing agreements or MOUs with at least 2 peer utilities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We use shared datasets/models from other utilities to inform operational decisions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Our vendor contracts allow frictionless export of operational data without extra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Intelligence-Driven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Every major capital project proposal includes a technology-first alternative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We have presented a “sensors first, construction second” option to our governing board in the past 24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We have in-house or contracted data science capability for predictive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We use predictive models to guide maintenance or investment priorities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Sophisticated Capital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Our finance team presents at least two funding scenarios for every major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We have evaluated or secured non-traditional funding (e.g., WIFIA loans, Environmental Impact Bonds, P3s)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We can model the financial impact of different capital market instruments, not just bonds and grants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We monitor capital market trends and adjust timing of projects to optimize financing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Scoring Guide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60–80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Pioneer</w:t>
      </w:r>
      <w:r w:rsidDel="00000000" w:rsidR="00000000" w:rsidRPr="00000000">
        <w:rPr>
          <w:rtl w:val="0"/>
        </w:rPr>
        <w:t xml:space="preserve"> – Leading the transformation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40–59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Adopter</w:t>
      </w:r>
      <w:r w:rsidDel="00000000" w:rsidR="00000000" w:rsidRPr="00000000">
        <w:rPr>
          <w:rtl w:val="0"/>
        </w:rPr>
        <w:t xml:space="preserve"> – Aware but need to accelerate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20–39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Observer</w:t>
      </w:r>
      <w:r w:rsidDel="00000000" w:rsidR="00000000" w:rsidRPr="00000000">
        <w:rPr>
          <w:rtl w:val="0"/>
        </w:rPr>
        <w:t xml:space="preserve"> – Time to start experimenting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Below 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Traditional</w:t>
      </w:r>
      <w:r w:rsidDel="00000000" w:rsidR="00000000" w:rsidRPr="00000000">
        <w:rPr>
          <w:rtl w:val="0"/>
        </w:rPr>
        <w:t xml:space="preserve"> – At risk under the new model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