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721" w:rsidRPr="00F33DAC" w:rsidRDefault="002B3721" w:rsidP="002B3721">
      <w:pPr>
        <w:jc w:val="center"/>
        <w:rPr>
          <w:b/>
          <w:bCs/>
          <w:noProof/>
          <w:sz w:val="28"/>
          <w:szCs w:val="28"/>
        </w:rPr>
      </w:pPr>
      <w:r w:rsidRPr="00F33DAC">
        <w:rPr>
          <w:b/>
          <w:bCs/>
          <w:noProof/>
          <w:sz w:val="28"/>
          <w:szCs w:val="28"/>
        </w:rPr>
        <w:t>INTERNATIONAL ORGANIZATION FOR STANDARDIZATION</w:t>
      </w:r>
    </w:p>
    <w:p w:rsidR="002B3721" w:rsidRPr="00F33DAC" w:rsidRDefault="002B3721" w:rsidP="002B3721">
      <w:pPr>
        <w:jc w:val="center"/>
        <w:rPr>
          <w:b/>
          <w:bCs/>
          <w:noProof/>
          <w:sz w:val="28"/>
          <w:szCs w:val="28"/>
        </w:rPr>
      </w:pPr>
      <w:r w:rsidRPr="00F33DAC">
        <w:rPr>
          <w:b/>
          <w:bCs/>
          <w:noProof/>
          <w:sz w:val="28"/>
          <w:szCs w:val="28"/>
        </w:rPr>
        <w:t>ORGANISATION INTERNATIONALE DE NORMALISATION</w:t>
      </w:r>
    </w:p>
    <w:p w:rsidR="002B3721" w:rsidRPr="00F33DAC" w:rsidRDefault="002B3721" w:rsidP="002B3721">
      <w:pPr>
        <w:spacing w:before="120"/>
        <w:jc w:val="center"/>
        <w:rPr>
          <w:b/>
          <w:bCs/>
          <w:noProof/>
          <w:sz w:val="28"/>
          <w:szCs w:val="28"/>
        </w:rPr>
      </w:pPr>
      <w:r w:rsidRPr="00F33DAC">
        <w:rPr>
          <w:b/>
          <w:bCs/>
          <w:noProof/>
          <w:sz w:val="28"/>
          <w:szCs w:val="28"/>
        </w:rPr>
        <w:t>ISO/IEC JTC1/SC29/WG11</w:t>
      </w:r>
    </w:p>
    <w:p w:rsidR="002B3721" w:rsidRPr="00F33DAC" w:rsidRDefault="002B3721" w:rsidP="002B3721">
      <w:pPr>
        <w:jc w:val="center"/>
        <w:rPr>
          <w:b/>
          <w:bCs/>
          <w:noProof/>
          <w:sz w:val="28"/>
          <w:szCs w:val="28"/>
        </w:rPr>
      </w:pPr>
      <w:r w:rsidRPr="00F33DAC">
        <w:rPr>
          <w:b/>
          <w:bCs/>
          <w:noProof/>
          <w:sz w:val="28"/>
          <w:szCs w:val="28"/>
        </w:rPr>
        <w:t>CODING OF MOVING PICTURES AND AUDIO</w:t>
      </w:r>
    </w:p>
    <w:p w:rsidR="002B3721" w:rsidRPr="00F33DAC" w:rsidRDefault="002B3721" w:rsidP="002B3721">
      <w:pPr>
        <w:spacing w:before="240"/>
        <w:jc w:val="right"/>
        <w:rPr>
          <w:b/>
          <w:bCs/>
          <w:noProof/>
        </w:rPr>
      </w:pPr>
      <w:r w:rsidRPr="00F33DAC">
        <w:rPr>
          <w:b/>
          <w:bCs/>
          <w:noProof/>
        </w:rPr>
        <w:t>ISO/IEC JTC1/SC29/WG11 MPEG2017/</w:t>
      </w:r>
      <w:r w:rsidR="00935F19" w:rsidRPr="00935F19">
        <w:rPr>
          <w:b/>
          <w:bCs/>
          <w:noProof/>
        </w:rPr>
        <w:t>m41889</w:t>
      </w:r>
    </w:p>
    <w:p w:rsidR="002B3721" w:rsidRPr="00F33DAC" w:rsidRDefault="002B3721" w:rsidP="002B3721">
      <w:pPr>
        <w:wordWrap w:val="0"/>
        <w:spacing w:before="60"/>
        <w:jc w:val="right"/>
        <w:rPr>
          <w:rFonts w:eastAsia="Malgun Gothic"/>
          <w:b/>
          <w:bCs/>
          <w:noProof/>
        </w:rPr>
      </w:pPr>
      <w:r>
        <w:rPr>
          <w:b/>
          <w:bCs/>
          <w:noProof/>
          <w:lang w:eastAsia="ja-JP"/>
        </w:rPr>
        <w:t>October</w:t>
      </w:r>
      <w:r w:rsidRPr="00F33DAC">
        <w:rPr>
          <w:b/>
          <w:bCs/>
          <w:noProof/>
          <w:lang w:eastAsia="ja-JP"/>
        </w:rPr>
        <w:t xml:space="preserve"> </w:t>
      </w:r>
      <w:r>
        <w:rPr>
          <w:b/>
          <w:bCs/>
          <w:noProof/>
          <w:lang w:eastAsia="ja-JP"/>
        </w:rPr>
        <w:t>20th</w:t>
      </w:r>
      <w:r w:rsidRPr="00F33DAC">
        <w:rPr>
          <w:b/>
          <w:bCs/>
          <w:noProof/>
          <w:lang w:eastAsia="ja-JP"/>
        </w:rPr>
        <w:t xml:space="preserve">, </w:t>
      </w:r>
      <w:r>
        <w:rPr>
          <w:b/>
          <w:bCs/>
          <w:noProof/>
          <w:lang w:eastAsia="ja-JP"/>
        </w:rPr>
        <w:t>Macau, CN</w:t>
      </w:r>
    </w:p>
    <w:p w:rsidR="002B3721" w:rsidRPr="00F33DAC" w:rsidRDefault="002B3721" w:rsidP="002B3721">
      <w:pPr>
        <w:spacing w:before="240"/>
        <w:rPr>
          <w:noProof/>
        </w:rPr>
      </w:pPr>
    </w:p>
    <w:p w:rsidR="002B3721" w:rsidRPr="00F33DAC" w:rsidRDefault="002B3721" w:rsidP="002B3721">
      <w:pPr>
        <w:rPr>
          <w:b/>
          <w:noProof/>
        </w:rPr>
      </w:pPr>
      <w:bookmarkStart w:id="0" w:name="__RefHeading__1_587466699"/>
      <w:bookmarkEnd w:id="0"/>
      <w:r w:rsidRPr="00F33DAC">
        <w:rPr>
          <w:b/>
          <w:noProof/>
        </w:rPr>
        <w:t>Source</w:t>
      </w:r>
      <w:r w:rsidRPr="00F33DAC">
        <w:rPr>
          <w:b/>
          <w:noProof/>
        </w:rPr>
        <w:tab/>
      </w:r>
      <w:r w:rsidRPr="00F33DAC">
        <w:rPr>
          <w:b/>
          <w:noProof/>
        </w:rPr>
        <w:tab/>
      </w:r>
      <w:r>
        <w:rPr>
          <w:b/>
          <w:noProof/>
        </w:rPr>
        <w:t>Unified Streaming Platform</w:t>
      </w:r>
      <w:r w:rsidR="005E758C">
        <w:rPr>
          <w:b/>
          <w:noProof/>
        </w:rPr>
        <w:t>, Media Excel, Level 3</w:t>
      </w:r>
    </w:p>
    <w:p w:rsidR="002B3721" w:rsidRPr="00F33DAC" w:rsidRDefault="002B3721" w:rsidP="002B3721">
      <w:pPr>
        <w:ind w:left="1440" w:hanging="1440"/>
        <w:rPr>
          <w:b/>
          <w:noProof/>
        </w:rPr>
      </w:pPr>
      <w:r w:rsidRPr="00F33DAC">
        <w:rPr>
          <w:b/>
          <w:noProof/>
        </w:rPr>
        <w:t>Title</w:t>
      </w:r>
      <w:r w:rsidRPr="00F33DAC">
        <w:rPr>
          <w:b/>
          <w:noProof/>
        </w:rPr>
        <w:tab/>
      </w:r>
      <w:r w:rsidR="0012240F">
        <w:rPr>
          <w:b/>
          <w:noProof/>
        </w:rPr>
        <w:t xml:space="preserve">[NBMP] </w:t>
      </w:r>
      <w:r>
        <w:rPr>
          <w:b/>
          <w:noProof/>
        </w:rPr>
        <w:t>Live Encoder Ingest</w:t>
      </w:r>
      <w:r w:rsidR="0012240F">
        <w:rPr>
          <w:b/>
          <w:noProof/>
        </w:rPr>
        <w:t xml:space="preserve"> Standardization</w:t>
      </w:r>
    </w:p>
    <w:p w:rsidR="002B3721" w:rsidRDefault="002B3721" w:rsidP="002B3721">
      <w:pPr>
        <w:rPr>
          <w:noProof/>
        </w:rPr>
      </w:pPr>
      <w:r w:rsidRPr="00F33DAC">
        <w:rPr>
          <w:b/>
          <w:noProof/>
        </w:rPr>
        <w:t>Authors</w:t>
      </w:r>
      <w:r w:rsidRPr="00F33DAC">
        <w:rPr>
          <w:b/>
          <w:noProof/>
        </w:rPr>
        <w:tab/>
      </w:r>
      <w:r>
        <w:rPr>
          <w:noProof/>
        </w:rPr>
        <w:t>Rufael Mekuria, Dirk Griffioen</w:t>
      </w:r>
      <w:r w:rsidR="00FF0CDD">
        <w:rPr>
          <w:noProof/>
        </w:rPr>
        <w:t>, Arjen Wagenaar</w:t>
      </w:r>
      <w:r w:rsidR="005E758C">
        <w:rPr>
          <w:noProof/>
        </w:rPr>
        <w:t xml:space="preserve">, Kevin Johns (Level 3), </w:t>
      </w:r>
      <w:r w:rsidR="005E758C" w:rsidRPr="005E758C">
        <w:rPr>
          <w:noProof/>
        </w:rPr>
        <w:t>Nikos Kyriopoulos</w:t>
      </w:r>
      <w:r w:rsidR="005E758C">
        <w:rPr>
          <w:noProof/>
        </w:rPr>
        <w:t xml:space="preserve"> (Media Excel)</w:t>
      </w:r>
    </w:p>
    <w:p w:rsidR="002B3721" w:rsidRDefault="002B3721" w:rsidP="002B3721">
      <w:pPr>
        <w:rPr>
          <w:noProof/>
        </w:rPr>
      </w:pPr>
    </w:p>
    <w:p w:rsidR="002B3721" w:rsidRDefault="002B3721" w:rsidP="002B3721">
      <w:pPr>
        <w:rPr>
          <w:noProof/>
        </w:rPr>
      </w:pPr>
    </w:p>
    <w:p w:rsidR="00773C44" w:rsidRPr="00773C44" w:rsidRDefault="00773C44" w:rsidP="00773C44">
      <w:pPr>
        <w:pStyle w:val="Heading2"/>
      </w:pPr>
      <w:r>
        <w:rPr>
          <w:color w:val="1F4E79" w:themeColor="accent1" w:themeShade="80"/>
        </w:rPr>
        <w:t xml:space="preserve">Use Case on Live </w:t>
      </w:r>
      <w:r w:rsidR="00FE37C6">
        <w:rPr>
          <w:color w:val="1F4E79" w:themeColor="accent1" w:themeShade="80"/>
        </w:rPr>
        <w:t>Media</w:t>
      </w:r>
      <w:bookmarkStart w:id="1" w:name="_GoBack"/>
      <w:bookmarkEnd w:id="1"/>
      <w:r>
        <w:rPr>
          <w:color w:val="1F4E79" w:themeColor="accent1" w:themeShade="80"/>
        </w:rPr>
        <w:t xml:space="preserve"> Ingest</w:t>
      </w:r>
    </w:p>
    <w:p w:rsidR="002B3721" w:rsidRDefault="002B3721">
      <w:pPr>
        <w:rPr>
          <w:rFonts w:eastAsia="Times New Roman"/>
          <w:color w:val="222222"/>
          <w:lang w:eastAsia="en-GB"/>
        </w:rPr>
      </w:pPr>
      <w:r>
        <w:rPr>
          <w:rFonts w:eastAsia="Times New Roman"/>
          <w:color w:val="222222"/>
          <w:lang w:eastAsia="en-GB"/>
        </w:rPr>
        <w:t xml:space="preserve">This document proposes initiation of standardization of </w:t>
      </w:r>
      <w:r w:rsidR="00FB205E">
        <w:rPr>
          <w:rFonts w:eastAsia="Times New Roman"/>
          <w:color w:val="222222"/>
          <w:lang w:eastAsia="en-GB"/>
        </w:rPr>
        <w:t xml:space="preserve">a </w:t>
      </w:r>
      <w:r>
        <w:rPr>
          <w:rFonts w:eastAsia="Times New Roman"/>
          <w:color w:val="222222"/>
          <w:lang w:eastAsia="en-GB"/>
        </w:rPr>
        <w:t>live encoder ingest format</w:t>
      </w:r>
      <w:r w:rsidR="00FB205E">
        <w:rPr>
          <w:rFonts w:eastAsia="Times New Roman"/>
          <w:color w:val="222222"/>
          <w:lang w:eastAsia="en-GB"/>
        </w:rPr>
        <w:t xml:space="preserve"> and protocol</w:t>
      </w:r>
      <w:r>
        <w:rPr>
          <w:rFonts w:eastAsia="Times New Roman"/>
          <w:color w:val="222222"/>
          <w:lang w:eastAsia="en-GB"/>
        </w:rPr>
        <w:t>. Live encoders in the cloud or on premise typically send their content to the media processing entity as soon as it becomes available</w:t>
      </w:r>
      <w:r w:rsidR="0012240F">
        <w:rPr>
          <w:rFonts w:eastAsia="Times New Roman"/>
          <w:color w:val="222222"/>
          <w:lang w:eastAsia="en-GB"/>
        </w:rPr>
        <w:t>. While the format typically follows formats l</w:t>
      </w:r>
      <w:r w:rsidR="00193A94">
        <w:rPr>
          <w:rFonts w:eastAsia="Times New Roman"/>
          <w:color w:val="222222"/>
          <w:lang w:eastAsia="en-GB"/>
        </w:rPr>
        <w:t>ike MPEG-2 TS or ISO Base Media, t</w:t>
      </w:r>
      <w:r w:rsidR="0012240F">
        <w:rPr>
          <w:rFonts w:eastAsia="Times New Roman"/>
          <w:color w:val="222222"/>
          <w:lang w:eastAsia="en-GB"/>
        </w:rPr>
        <w:t>he transmission method (</w:t>
      </w:r>
      <w:r>
        <w:rPr>
          <w:rFonts w:eastAsia="Times New Roman"/>
          <w:color w:val="222222"/>
          <w:lang w:eastAsia="en-GB"/>
        </w:rPr>
        <w:t>push based manner (e.g. via the HTTP POST protocol)</w:t>
      </w:r>
      <w:r w:rsidR="0012240F">
        <w:rPr>
          <w:rFonts w:eastAsia="Times New Roman"/>
          <w:color w:val="222222"/>
          <w:lang w:eastAsia="en-GB"/>
        </w:rPr>
        <w:t>, auxiliary information and file format flavor often differ</w:t>
      </w:r>
      <w:r>
        <w:rPr>
          <w:rFonts w:eastAsia="Times New Roman"/>
          <w:color w:val="222222"/>
          <w:lang w:eastAsia="en-GB"/>
        </w:rPr>
        <w:t xml:space="preserve">. Figure 1 shows the workflow </w:t>
      </w:r>
      <w:r w:rsidR="00FB205E">
        <w:rPr>
          <w:rFonts w:eastAsia="Times New Roman"/>
          <w:color w:val="222222"/>
          <w:lang w:eastAsia="en-GB"/>
        </w:rPr>
        <w:t xml:space="preserve">of </w:t>
      </w:r>
      <w:r w:rsidR="0012240F">
        <w:rPr>
          <w:rFonts w:eastAsia="Times New Roman"/>
          <w:color w:val="222222"/>
          <w:lang w:eastAsia="en-GB"/>
        </w:rPr>
        <w:t>pushing content from</w:t>
      </w:r>
      <w:r w:rsidR="00FB205E">
        <w:rPr>
          <w:rFonts w:eastAsia="Times New Roman"/>
          <w:color w:val="222222"/>
          <w:lang w:eastAsia="en-GB"/>
        </w:rPr>
        <w:t xml:space="preserve"> a live encoder</w:t>
      </w:r>
      <w:r w:rsidR="0012240F">
        <w:rPr>
          <w:rFonts w:eastAsia="Times New Roman"/>
          <w:color w:val="222222"/>
          <w:lang w:eastAsia="en-GB"/>
        </w:rPr>
        <w:t xml:space="preserve"> to a media servi</w:t>
      </w:r>
      <w:r w:rsidR="00A11229">
        <w:rPr>
          <w:rFonts w:eastAsia="Times New Roman"/>
          <w:color w:val="222222"/>
          <w:lang w:eastAsia="en-GB"/>
        </w:rPr>
        <w:t>c</w:t>
      </w:r>
      <w:r w:rsidR="0012240F">
        <w:rPr>
          <w:rFonts w:eastAsia="Times New Roman"/>
          <w:color w:val="222222"/>
          <w:lang w:eastAsia="en-GB"/>
        </w:rPr>
        <w:t>e</w:t>
      </w:r>
      <w:r w:rsidR="00FB205E">
        <w:rPr>
          <w:rFonts w:eastAsia="Times New Roman"/>
          <w:color w:val="222222"/>
          <w:lang w:eastAsia="en-GB"/>
        </w:rPr>
        <w:t xml:space="preserve"> </w:t>
      </w:r>
      <w:r>
        <w:rPr>
          <w:rFonts w:eastAsia="Times New Roman"/>
          <w:color w:val="222222"/>
          <w:lang w:eastAsia="en-GB"/>
        </w:rPr>
        <w:t>and the identified interop</w:t>
      </w:r>
      <w:r w:rsidR="00FB205E">
        <w:rPr>
          <w:rFonts w:eastAsia="Times New Roman"/>
          <w:color w:val="222222"/>
          <w:lang w:eastAsia="en-GB"/>
        </w:rPr>
        <w:t xml:space="preserve"> item</w:t>
      </w:r>
      <w:r>
        <w:rPr>
          <w:rFonts w:eastAsia="Times New Roman"/>
          <w:color w:val="222222"/>
          <w:lang w:eastAsia="en-GB"/>
        </w:rPr>
        <w:t xml:space="preserve"> for standardization. </w:t>
      </w:r>
      <w:r w:rsidR="00A11229">
        <w:rPr>
          <w:rFonts w:eastAsia="Times New Roman"/>
          <w:color w:val="222222"/>
          <w:lang w:eastAsia="en-GB"/>
        </w:rPr>
        <w:t xml:space="preserve"> An example specification of an encoder ingest is specified by Microsoft azure: the azure media ingest specification </w:t>
      </w:r>
      <w:sdt>
        <w:sdtPr>
          <w:rPr>
            <w:rFonts w:eastAsia="Times New Roman"/>
            <w:color w:val="222222"/>
            <w:lang w:eastAsia="en-GB"/>
          </w:rPr>
          <w:id w:val="-1363587910"/>
          <w:citation/>
        </w:sdtPr>
        <w:sdtEndPr/>
        <w:sdtContent>
          <w:r w:rsidR="00A11229">
            <w:rPr>
              <w:rFonts w:eastAsia="Times New Roman"/>
              <w:color w:val="222222"/>
              <w:lang w:eastAsia="en-GB"/>
            </w:rPr>
            <w:fldChar w:fldCharType="begin"/>
          </w:r>
          <w:r w:rsidR="00A11229">
            <w:rPr>
              <w:rFonts w:eastAsia="Times New Roman"/>
              <w:color w:val="222222"/>
              <w:lang w:val="nl-NL" w:eastAsia="en-GB"/>
            </w:rPr>
            <w:instrText xml:space="preserve"> CITATION Mic172 \l 1043 </w:instrText>
          </w:r>
          <w:r w:rsidR="00A11229">
            <w:rPr>
              <w:rFonts w:eastAsia="Times New Roman"/>
              <w:color w:val="222222"/>
              <w:lang w:eastAsia="en-GB"/>
            </w:rPr>
            <w:fldChar w:fldCharType="separate"/>
          </w:r>
          <w:r w:rsidR="00A11229" w:rsidRPr="00A11229">
            <w:rPr>
              <w:rFonts w:eastAsia="Times New Roman"/>
              <w:noProof/>
              <w:color w:val="222222"/>
              <w:lang w:val="nl-NL" w:eastAsia="en-GB"/>
            </w:rPr>
            <w:t>[</w:t>
          </w:r>
          <w:hyperlink w:anchor="Mic172" w:history="1">
            <w:r w:rsidR="00A11229" w:rsidRPr="00A11229">
              <w:rPr>
                <w:rFonts w:eastAsia="Times New Roman"/>
                <w:noProof/>
                <w:color w:val="222222"/>
                <w:lang w:val="nl-NL" w:eastAsia="en-GB"/>
              </w:rPr>
              <w:t>1</w:t>
            </w:r>
          </w:hyperlink>
          <w:r w:rsidR="00A11229" w:rsidRPr="00A11229">
            <w:rPr>
              <w:rFonts w:eastAsia="Times New Roman"/>
              <w:noProof/>
              <w:color w:val="222222"/>
              <w:lang w:val="nl-NL" w:eastAsia="en-GB"/>
            </w:rPr>
            <w:t>]</w:t>
          </w:r>
          <w:r w:rsidR="00A11229">
            <w:rPr>
              <w:rFonts w:eastAsia="Times New Roman"/>
              <w:color w:val="222222"/>
              <w:lang w:eastAsia="en-GB"/>
            </w:rPr>
            <w:fldChar w:fldCharType="end"/>
          </w:r>
        </w:sdtContent>
      </w:sdt>
      <w:r w:rsidR="00A11229">
        <w:rPr>
          <w:rFonts w:eastAsia="Times New Roman"/>
          <w:color w:val="222222"/>
          <w:lang w:eastAsia="en-GB"/>
        </w:rPr>
        <w:t xml:space="preserve">  superseding the ingest part of the smooth streaming protocol </w:t>
      </w:r>
      <w:sdt>
        <w:sdtPr>
          <w:rPr>
            <w:rFonts w:eastAsia="Times New Roman"/>
            <w:color w:val="222222"/>
            <w:lang w:eastAsia="en-GB"/>
          </w:rPr>
          <w:id w:val="1055592989"/>
          <w:citation/>
        </w:sdtPr>
        <w:sdtEndPr/>
        <w:sdtContent>
          <w:r w:rsidR="00A11229">
            <w:rPr>
              <w:rFonts w:eastAsia="Times New Roman"/>
              <w:color w:val="222222"/>
              <w:lang w:eastAsia="en-GB"/>
            </w:rPr>
            <w:fldChar w:fldCharType="begin"/>
          </w:r>
          <w:r w:rsidR="00A11229">
            <w:rPr>
              <w:rFonts w:eastAsia="Times New Roman"/>
              <w:color w:val="222222"/>
              <w:lang w:val="nl-NL" w:eastAsia="en-GB"/>
            </w:rPr>
            <w:instrText xml:space="preserve"> CITATION Mic1 \l 1043 </w:instrText>
          </w:r>
          <w:r w:rsidR="00A11229">
            <w:rPr>
              <w:rFonts w:eastAsia="Times New Roman"/>
              <w:color w:val="222222"/>
              <w:lang w:eastAsia="en-GB"/>
            </w:rPr>
            <w:fldChar w:fldCharType="separate"/>
          </w:r>
          <w:r w:rsidR="00A11229" w:rsidRPr="00A11229">
            <w:rPr>
              <w:rFonts w:eastAsia="Times New Roman"/>
              <w:noProof/>
              <w:color w:val="222222"/>
              <w:lang w:val="nl-NL" w:eastAsia="en-GB"/>
            </w:rPr>
            <w:t>[</w:t>
          </w:r>
          <w:hyperlink w:anchor="Mic1" w:history="1">
            <w:r w:rsidR="00A11229" w:rsidRPr="00A11229">
              <w:rPr>
                <w:rFonts w:eastAsia="Times New Roman"/>
                <w:noProof/>
                <w:color w:val="222222"/>
                <w:lang w:val="nl-NL" w:eastAsia="en-GB"/>
              </w:rPr>
              <w:t>2</w:t>
            </w:r>
          </w:hyperlink>
          <w:r w:rsidR="00A11229" w:rsidRPr="00A11229">
            <w:rPr>
              <w:rFonts w:eastAsia="Times New Roman"/>
              <w:noProof/>
              <w:color w:val="222222"/>
              <w:lang w:val="nl-NL" w:eastAsia="en-GB"/>
            </w:rPr>
            <w:t>]</w:t>
          </w:r>
          <w:r w:rsidR="00A11229">
            <w:rPr>
              <w:rFonts w:eastAsia="Times New Roman"/>
              <w:color w:val="222222"/>
              <w:lang w:eastAsia="en-GB"/>
            </w:rPr>
            <w:fldChar w:fldCharType="end"/>
          </w:r>
        </w:sdtContent>
      </w:sdt>
      <w:r w:rsidR="00A11229">
        <w:rPr>
          <w:rFonts w:eastAsia="Times New Roman"/>
          <w:color w:val="222222"/>
          <w:lang w:eastAsia="en-GB"/>
        </w:rPr>
        <w:t>. Yet this specification is insufficient as many industry requirements are missing (explicit HEVC support, timed meta-data etc) and it is a specification proprietary to Microsoft Azure Cloud, hampering widescale deployment.</w:t>
      </w:r>
      <w:r w:rsidR="00193A94">
        <w:rPr>
          <w:rFonts w:eastAsia="Times New Roman"/>
          <w:color w:val="222222"/>
          <w:lang w:eastAsia="en-GB"/>
        </w:rPr>
        <w:t xml:space="preserve"> In this interop part the ingest of the media and timed meta-data are both critical.</w:t>
      </w:r>
    </w:p>
    <w:p w:rsidR="002B3721" w:rsidRPr="002B3721" w:rsidRDefault="002B3721">
      <w:pPr>
        <w:rPr>
          <w:b/>
          <w:noProof/>
        </w:rPr>
      </w:pPr>
      <w:r>
        <w:rPr>
          <w:rFonts w:eastAsia="Times New Roman"/>
          <w:color w:val="222222"/>
          <w:lang w:eastAsia="en-GB"/>
        </w:rPr>
        <w:t xml:space="preserve"> </w:t>
      </w:r>
    </w:p>
    <w:p w:rsidR="002B3721" w:rsidRDefault="002B3721" w:rsidP="002B3721">
      <w:pPr>
        <w:keepNext/>
      </w:pPr>
      <w:r>
        <w:rPr>
          <w:noProof/>
          <w:lang w:val="en-GB" w:eastAsia="en-GB"/>
        </w:rPr>
        <w:drawing>
          <wp:inline distT="0" distB="0" distL="0" distR="0">
            <wp:extent cx="5753100" cy="2638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638425"/>
                    </a:xfrm>
                    <a:prstGeom prst="rect">
                      <a:avLst/>
                    </a:prstGeom>
                    <a:noFill/>
                    <a:ln>
                      <a:noFill/>
                    </a:ln>
                  </pic:spPr>
                </pic:pic>
              </a:graphicData>
            </a:graphic>
          </wp:inline>
        </w:drawing>
      </w:r>
    </w:p>
    <w:p w:rsidR="00773C44" w:rsidRDefault="002B3721" w:rsidP="002B3721">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Encoder ingest interop point</w:t>
      </w:r>
    </w:p>
    <w:p w:rsidR="00773C44" w:rsidRDefault="00773C44" w:rsidP="002B3721">
      <w:pPr>
        <w:pStyle w:val="Caption"/>
      </w:pPr>
    </w:p>
    <w:p w:rsidR="002B3721" w:rsidRDefault="002B3721" w:rsidP="002B3721">
      <w:pPr>
        <w:pStyle w:val="Heading2"/>
      </w:pPr>
      <w:r w:rsidRPr="00583E63">
        <w:rPr>
          <w:color w:val="1F4E79" w:themeColor="accent1" w:themeShade="80"/>
        </w:rPr>
        <w:lastRenderedPageBreak/>
        <w:t xml:space="preserve">Relevance and Industry Impact </w:t>
      </w:r>
    </w:p>
    <w:p w:rsidR="002B3721" w:rsidRDefault="002B3721" w:rsidP="002B3721">
      <w:r>
        <w:t>Currently there is no standard specification for live encoder ingest into media processing entities like origin servers, content delivery networks etc. In current practice live encoders may post encoded media data to this source in a different manner</w:t>
      </w:r>
      <w:r w:rsidR="0012240F">
        <w:t xml:space="preserve">. Differences in the format and codec flavor and </w:t>
      </w:r>
      <w:r>
        <w:t>different</w:t>
      </w:r>
      <w:r w:rsidR="0012240F">
        <w:t xml:space="preserve"> transmission methods often require large scale interop when changing live encoder</w:t>
      </w:r>
      <w:r w:rsidR="00193A94">
        <w:t xml:space="preserve"> or maintaining workflows with multiple live encoders</w:t>
      </w:r>
      <w:r w:rsidR="0012240F">
        <w:t>. For this reason, m</w:t>
      </w:r>
      <w:r>
        <w:t>any media services cannot switch be</w:t>
      </w:r>
      <w:r w:rsidR="0012240F">
        <w:t>tween encoder vendors easily as they</w:t>
      </w:r>
      <w:r>
        <w:t xml:space="preserve"> need to do months of interop testing to get live services to work.</w:t>
      </w:r>
    </w:p>
    <w:p w:rsidR="00FB205E" w:rsidRDefault="00FB205E" w:rsidP="00FB205E">
      <w:r>
        <w:t>Further meta-data ingest from the broadcast stream such as markers (</w:t>
      </w:r>
      <w:r w:rsidR="000B7AD7">
        <w:t>ID3, SCTE</w:t>
      </w:r>
      <w:r w:rsidR="00C91149">
        <w:t>-</w:t>
      </w:r>
      <w:r>
        <w:t>35) are extremely important in industry practice, so a possible spec shall also cover the ingest of these types of content. Further</w:t>
      </w:r>
      <w:r w:rsidR="00C91149">
        <w:t>,</w:t>
      </w:r>
      <w:r>
        <w:t xml:space="preserve"> </w:t>
      </w:r>
      <w:r w:rsidR="00C91149">
        <w:t>b</w:t>
      </w:r>
      <w:r>
        <w:t xml:space="preserve">est practice for service and encoder failover, clock synchronization will be </w:t>
      </w:r>
      <w:r w:rsidR="00193A94">
        <w:t>a possible part of the specification</w:t>
      </w:r>
      <w:r>
        <w:t xml:space="preserve">. </w:t>
      </w:r>
    </w:p>
    <w:p w:rsidR="00FB205E" w:rsidRDefault="00FB205E" w:rsidP="002B3721"/>
    <w:p w:rsidR="002B3721" w:rsidRDefault="002B3721" w:rsidP="002B3721">
      <w:r>
        <w:t xml:space="preserve">The industry would benefit immensely from a standardized live encoder ingest specification. The DASH </w:t>
      </w:r>
      <w:sdt>
        <w:sdtPr>
          <w:id w:val="-1583135398"/>
          <w:citation/>
        </w:sdtPr>
        <w:sdtEndPr/>
        <w:sdtContent>
          <w:r w:rsidR="0012240F">
            <w:fldChar w:fldCharType="begin"/>
          </w:r>
          <w:r w:rsidR="0012240F">
            <w:rPr>
              <w:lang w:val="nl-NL"/>
            </w:rPr>
            <w:instrText xml:space="preserve"> CITATION ISO14 \l 1043 </w:instrText>
          </w:r>
          <w:r w:rsidR="0012240F">
            <w:fldChar w:fldCharType="separate"/>
          </w:r>
          <w:r w:rsidR="00A11229" w:rsidRPr="00A11229">
            <w:rPr>
              <w:noProof/>
              <w:lang w:val="nl-NL"/>
            </w:rPr>
            <w:t>[</w:t>
          </w:r>
          <w:hyperlink w:anchor="ISO14" w:history="1">
            <w:r w:rsidR="00A11229" w:rsidRPr="00A11229">
              <w:rPr>
                <w:noProof/>
                <w:lang w:val="nl-NL"/>
              </w:rPr>
              <w:t>2</w:t>
            </w:r>
          </w:hyperlink>
          <w:r w:rsidR="00A11229" w:rsidRPr="00A11229">
            <w:rPr>
              <w:noProof/>
              <w:lang w:val="nl-NL"/>
            </w:rPr>
            <w:t>]</w:t>
          </w:r>
          <w:r w:rsidR="0012240F">
            <w:fldChar w:fldCharType="end"/>
          </w:r>
        </w:sdtContent>
      </w:sdt>
      <w:r w:rsidR="0012240F">
        <w:t xml:space="preserve"> </w:t>
      </w:r>
      <w:r>
        <w:t>standard defines manifest formats and recommendations for formatting media fragments.</w:t>
      </w:r>
      <w:r w:rsidR="00FB205E">
        <w:t xml:space="preserve"> However DASH </w:t>
      </w:r>
      <w:r>
        <w:t xml:space="preserve">targets communication between a server and a client, with the client requesting fragments from the server. In the case of a live encoder, the encoder needs to push content to the server as soon as it becomes available, a push based method is called for such as using HTTP POST as defined in </w:t>
      </w:r>
      <w:sdt>
        <w:sdtPr>
          <w:id w:val="718101392"/>
          <w:citation/>
        </w:sdtPr>
        <w:sdtEndPr/>
        <w:sdtContent>
          <w:r>
            <w:fldChar w:fldCharType="begin"/>
          </w:r>
          <w:r>
            <w:rPr>
              <w:lang w:val="nl-NL"/>
            </w:rPr>
            <w:instrText xml:space="preserve"> CITATION Mic1 \l 1043 </w:instrText>
          </w:r>
          <w:r>
            <w:fldChar w:fldCharType="separate"/>
          </w:r>
          <w:r w:rsidR="00A11229" w:rsidRPr="00A11229">
            <w:rPr>
              <w:noProof/>
              <w:lang w:val="nl-NL"/>
            </w:rPr>
            <w:t>[</w:t>
          </w:r>
          <w:hyperlink w:anchor="Mic1" w:history="1">
            <w:r w:rsidR="00A11229" w:rsidRPr="00A11229">
              <w:rPr>
                <w:noProof/>
                <w:lang w:val="nl-NL"/>
              </w:rPr>
              <w:t>1</w:t>
            </w:r>
          </w:hyperlink>
          <w:r w:rsidR="00A11229" w:rsidRPr="00A11229">
            <w:rPr>
              <w:noProof/>
              <w:lang w:val="nl-NL"/>
            </w:rPr>
            <w:t>]</w:t>
          </w:r>
          <w:r>
            <w:fldChar w:fldCharType="end"/>
          </w:r>
        </w:sdtContent>
      </w:sdt>
      <w:r>
        <w:t xml:space="preserve">.  </w:t>
      </w:r>
      <w:r w:rsidR="00FB205E">
        <w:t>This is outside the scope of DASH</w:t>
      </w:r>
      <w:r w:rsidR="00C91149">
        <w:t xml:space="preserve"> and other protocols that specify a format between a client and a server</w:t>
      </w:r>
      <w:r w:rsidR="00FB205E">
        <w:t>.</w:t>
      </w:r>
    </w:p>
    <w:p w:rsidR="00583E63" w:rsidRDefault="00583E63" w:rsidP="002B3721"/>
    <w:p w:rsidR="00C91149" w:rsidRPr="00C91149" w:rsidRDefault="00C91149" w:rsidP="00C91149">
      <w:r>
        <w:t xml:space="preserve">Standardization of this work item will improve industry interoperability and help providers of large scale live media services and other media processing services in the cloud. </w:t>
      </w:r>
      <w:r w:rsidR="0012240F">
        <w:t>Also, t</w:t>
      </w:r>
      <w:r>
        <w:t>his</w:t>
      </w:r>
      <w:r w:rsidR="0012240F">
        <w:t xml:space="preserve"> standardization</w:t>
      </w:r>
      <w:r>
        <w:t xml:space="preserve"> work will establish a best practice for ingest</w:t>
      </w:r>
      <w:r w:rsidR="0045008D">
        <w:t>ing media and meta-data content from encoder making improving industry practice</w:t>
      </w:r>
      <w:r>
        <w:t>.</w:t>
      </w:r>
      <w:r w:rsidR="0045008D">
        <w:t xml:space="preserve"> With the increasing media cloud activity and more complex cloud based services and application and more standardized cloud solutions, standardizati</w:t>
      </w:r>
      <w:r w:rsidR="00193A94">
        <w:t>on of encoder ingest</w:t>
      </w:r>
      <w:r w:rsidR="00A11229">
        <w:t xml:space="preserve"> is critical</w:t>
      </w:r>
      <w:r w:rsidR="000B7AD7">
        <w:t xml:space="preserve">. </w:t>
      </w:r>
      <w:r w:rsidR="00A11229">
        <w:t xml:space="preserve">Further, many media services have multiple brands of encoders, when using different brands of encoders for redundancy, in case of failover, different specs of the encoder give an interop problem. </w:t>
      </w:r>
      <w:r w:rsidR="00193A94">
        <w:t xml:space="preserve"> Such workflows require an interop matrix of supporting multiple encoder ingest protocols to keep the live streaming running.</w:t>
      </w:r>
    </w:p>
    <w:p w:rsidR="002B3721" w:rsidRDefault="002B3721" w:rsidP="002B3721"/>
    <w:p w:rsidR="0012240F" w:rsidRDefault="0012240F" w:rsidP="0012240F">
      <w:pPr>
        <w:pStyle w:val="Heading2"/>
        <w:rPr>
          <w:color w:val="1F4E79" w:themeColor="accent1" w:themeShade="80"/>
        </w:rPr>
      </w:pPr>
      <w:r>
        <w:rPr>
          <w:color w:val="1F4E79" w:themeColor="accent1" w:themeShade="80"/>
        </w:rPr>
        <w:t>Definitions</w:t>
      </w:r>
    </w:p>
    <w:p w:rsidR="0012240F" w:rsidRDefault="0012240F" w:rsidP="002B3721">
      <w:r w:rsidRPr="0012240F">
        <w:rPr>
          <w:b/>
        </w:rPr>
        <w:t>Live stream event:</w:t>
      </w:r>
      <w:r>
        <w:t xml:space="preserve"> live broadcast </w:t>
      </w:r>
      <w:r w:rsidR="00193A94">
        <w:t>from a live encoder</w:t>
      </w:r>
    </w:p>
    <w:p w:rsidR="0012240F" w:rsidRDefault="0012240F" w:rsidP="002B3721">
      <w:r>
        <w:rPr>
          <w:b/>
        </w:rPr>
        <w:t xml:space="preserve">Timed meta-data: </w:t>
      </w:r>
      <w:r w:rsidR="00A11229">
        <w:t>meta</w:t>
      </w:r>
      <w:r>
        <w:t xml:space="preserve">-data in the live encoder broadcast or a secondary source embedded in the bit-stream for content insertion and other functionalities. Examples include ID-3 tags and SCTE 35 markers which are widely adopted in the industry. </w:t>
      </w:r>
    </w:p>
    <w:p w:rsidR="00301259" w:rsidRDefault="0012240F" w:rsidP="002B3721">
      <w:r w:rsidRPr="00301259">
        <w:rPr>
          <w:b/>
        </w:rPr>
        <w:t>UTC</w:t>
      </w:r>
      <w:r>
        <w:t>: Universal time code</w:t>
      </w:r>
    </w:p>
    <w:p w:rsidR="0012240F" w:rsidRDefault="00301259" w:rsidP="002B3721">
      <w:r>
        <w:rPr>
          <w:b/>
        </w:rPr>
        <w:t xml:space="preserve">SCTE-35: </w:t>
      </w:r>
      <w:r>
        <w:t>video streaming markers developed by the society of cable telecommunications engineers that is widely adopted for signaling splash points</w:t>
      </w:r>
      <w:r w:rsidR="00193A94">
        <w:t xml:space="preserve"> in transport streams that can be used for content insertion </w:t>
      </w:r>
      <w:sdt>
        <w:sdtPr>
          <w:id w:val="1020596487"/>
          <w:citation/>
        </w:sdtPr>
        <w:sdtEndPr/>
        <w:sdtContent>
          <w:r w:rsidR="00193A94">
            <w:fldChar w:fldCharType="begin"/>
          </w:r>
          <w:r w:rsidR="00193A94">
            <w:rPr>
              <w:lang w:val="nl-NL"/>
            </w:rPr>
            <w:instrText xml:space="preserve"> CITATION SCT16 \l 1043 </w:instrText>
          </w:r>
          <w:r w:rsidR="00193A94">
            <w:fldChar w:fldCharType="separate"/>
          </w:r>
          <w:r w:rsidR="00193A94" w:rsidRPr="00193A94">
            <w:rPr>
              <w:noProof/>
              <w:lang w:val="nl-NL"/>
            </w:rPr>
            <w:t>[</w:t>
          </w:r>
          <w:hyperlink w:anchor="SCT16" w:history="1">
            <w:r w:rsidR="00193A94" w:rsidRPr="00193A94">
              <w:rPr>
                <w:noProof/>
                <w:lang w:val="nl-NL"/>
              </w:rPr>
              <w:t>4</w:t>
            </w:r>
          </w:hyperlink>
          <w:r w:rsidR="00193A94" w:rsidRPr="00193A94">
            <w:rPr>
              <w:noProof/>
              <w:lang w:val="nl-NL"/>
            </w:rPr>
            <w:t>]</w:t>
          </w:r>
          <w:r w:rsidR="00193A94">
            <w:fldChar w:fldCharType="end"/>
          </w:r>
        </w:sdtContent>
      </w:sdt>
      <w:r>
        <w:t>.</w:t>
      </w:r>
      <w:r w:rsidR="0012240F">
        <w:t xml:space="preserve"> </w:t>
      </w:r>
    </w:p>
    <w:p w:rsidR="0012240F" w:rsidRDefault="00A11229" w:rsidP="002B3721">
      <w:r>
        <w:rPr>
          <w:b/>
        </w:rPr>
        <w:t xml:space="preserve">ISOBMFF: </w:t>
      </w:r>
      <w:r>
        <w:t>ISO base media file format</w:t>
      </w:r>
      <w:r w:rsidR="00193A94">
        <w:t xml:space="preserve"> </w:t>
      </w:r>
      <w:sdt>
        <w:sdtPr>
          <w:id w:val="1817995319"/>
          <w:citation/>
        </w:sdtPr>
        <w:sdtEndPr/>
        <w:sdtContent>
          <w:r w:rsidR="00193A94">
            <w:fldChar w:fldCharType="begin"/>
          </w:r>
          <w:r w:rsidR="00193A94">
            <w:rPr>
              <w:lang w:val="nl-NL"/>
            </w:rPr>
            <w:instrText xml:space="preserve"> CITATION MPE15 \l 1043 </w:instrText>
          </w:r>
          <w:r w:rsidR="00193A94">
            <w:fldChar w:fldCharType="separate"/>
          </w:r>
          <w:r w:rsidR="00193A94" w:rsidRPr="00193A94">
            <w:rPr>
              <w:noProof/>
              <w:lang w:val="nl-NL"/>
            </w:rPr>
            <w:t>[</w:t>
          </w:r>
          <w:hyperlink w:anchor="MPE15" w:history="1">
            <w:r w:rsidR="00193A94" w:rsidRPr="00193A94">
              <w:rPr>
                <w:noProof/>
                <w:lang w:val="nl-NL"/>
              </w:rPr>
              <w:t>4</w:t>
            </w:r>
          </w:hyperlink>
          <w:r w:rsidR="00193A94" w:rsidRPr="00193A94">
            <w:rPr>
              <w:noProof/>
              <w:lang w:val="nl-NL"/>
            </w:rPr>
            <w:t>]</w:t>
          </w:r>
          <w:r w:rsidR="00193A94">
            <w:fldChar w:fldCharType="end"/>
          </w:r>
        </w:sdtContent>
      </w:sdt>
    </w:p>
    <w:p w:rsidR="0012240F" w:rsidRDefault="0012240F" w:rsidP="002B3721"/>
    <w:p w:rsidR="00773C44" w:rsidRPr="00773C44" w:rsidRDefault="0045008D" w:rsidP="00773C44">
      <w:pPr>
        <w:pStyle w:val="Heading2"/>
        <w:rPr>
          <w:color w:val="1F4E79" w:themeColor="accent1" w:themeShade="80"/>
        </w:rPr>
      </w:pPr>
      <w:r w:rsidRPr="00583E63">
        <w:rPr>
          <w:color w:val="1F4E79" w:themeColor="accent1" w:themeShade="80"/>
        </w:rPr>
        <w:t>Re</w:t>
      </w:r>
      <w:r>
        <w:rPr>
          <w:color w:val="1F4E79" w:themeColor="accent1" w:themeShade="80"/>
        </w:rPr>
        <w:t xml:space="preserve">quirements </w:t>
      </w:r>
    </w:p>
    <w:p w:rsidR="00773C44" w:rsidRDefault="00773C44" w:rsidP="0045008D">
      <w:pPr>
        <w:pStyle w:val="ListParagraph"/>
        <w:numPr>
          <w:ilvl w:val="0"/>
          <w:numId w:val="1"/>
        </w:numPr>
      </w:pPr>
      <w:r>
        <w:t>NBMP shall standardize a transport protocol for live encoder ingest</w:t>
      </w:r>
    </w:p>
    <w:p w:rsidR="0045008D" w:rsidRDefault="0045008D" w:rsidP="0045008D">
      <w:pPr>
        <w:pStyle w:val="ListParagraph"/>
        <w:numPr>
          <w:ilvl w:val="0"/>
          <w:numId w:val="1"/>
        </w:numPr>
      </w:pPr>
      <w:r>
        <w:t>The ingest format shall support push based transmission of live stream events</w:t>
      </w:r>
    </w:p>
    <w:p w:rsidR="0045008D" w:rsidRDefault="0045008D" w:rsidP="0045008D">
      <w:pPr>
        <w:pStyle w:val="ListParagraph"/>
        <w:numPr>
          <w:ilvl w:val="0"/>
          <w:numId w:val="1"/>
        </w:numPr>
      </w:pPr>
      <w:r>
        <w:t>The ingest format shall support timed meta data such as based on ID3 and SCTE-35</w:t>
      </w:r>
    </w:p>
    <w:p w:rsidR="0045008D" w:rsidRDefault="0045008D" w:rsidP="0045008D">
      <w:pPr>
        <w:pStyle w:val="ListParagraph"/>
        <w:numPr>
          <w:ilvl w:val="0"/>
          <w:numId w:val="1"/>
        </w:numPr>
      </w:pPr>
      <w:r>
        <w:t>The ingest specification shall support ingest of MPEG-H and MPEG-4 media including HEVC, AVC, AAC, MPEG-H audio and other media formats</w:t>
      </w:r>
    </w:p>
    <w:p w:rsidR="00EF5B18" w:rsidRDefault="00EF5B18" w:rsidP="0045008D">
      <w:pPr>
        <w:pStyle w:val="ListParagraph"/>
        <w:numPr>
          <w:ilvl w:val="0"/>
          <w:numId w:val="1"/>
        </w:numPr>
      </w:pPr>
      <w:r>
        <w:t>Media ingest shall be in fragments (moof box and mdat) as specified by ISOBMFF</w:t>
      </w:r>
    </w:p>
    <w:p w:rsidR="0045008D" w:rsidRDefault="0045008D" w:rsidP="0045008D">
      <w:pPr>
        <w:pStyle w:val="ListParagraph"/>
        <w:numPr>
          <w:ilvl w:val="0"/>
          <w:numId w:val="1"/>
        </w:numPr>
      </w:pPr>
      <w:r>
        <w:lastRenderedPageBreak/>
        <w:t xml:space="preserve">The ingest specification stream shall use clock synchronization between streams, preferably on UTC timestamps form the original </w:t>
      </w:r>
      <w:r w:rsidR="00193A94">
        <w:t>(</w:t>
      </w:r>
      <w:r>
        <w:t>SDI</w:t>
      </w:r>
      <w:r w:rsidR="00193A94">
        <w:t>)</w:t>
      </w:r>
      <w:r>
        <w:t xml:space="preserve"> signal</w:t>
      </w:r>
    </w:p>
    <w:p w:rsidR="0045008D" w:rsidRDefault="0045008D" w:rsidP="0045008D">
      <w:pPr>
        <w:pStyle w:val="ListParagraph"/>
        <w:numPr>
          <w:ilvl w:val="0"/>
          <w:numId w:val="1"/>
        </w:numPr>
      </w:pPr>
      <w:r>
        <w:t xml:space="preserve">The ingest specification shall be based on MPEG technologies and container formats </w:t>
      </w:r>
    </w:p>
    <w:p w:rsidR="0045008D" w:rsidRDefault="0045008D" w:rsidP="0045008D">
      <w:pPr>
        <w:pStyle w:val="ListParagraph"/>
        <w:numPr>
          <w:ilvl w:val="0"/>
          <w:numId w:val="1"/>
        </w:numPr>
      </w:pPr>
      <w:r>
        <w:t>The ingest spec shall specify failover and restart procedures to gracefully restart in case of failovers</w:t>
      </w:r>
    </w:p>
    <w:p w:rsidR="0045008D" w:rsidRDefault="0045008D" w:rsidP="0045008D">
      <w:pPr>
        <w:pStyle w:val="ListParagraph"/>
        <w:numPr>
          <w:ilvl w:val="0"/>
          <w:numId w:val="1"/>
        </w:numPr>
      </w:pPr>
      <w:r>
        <w:t>The ingest spec document shall specify best practices for encoder redundancy and service redundancy</w:t>
      </w:r>
      <w:r w:rsidR="0012240F">
        <w:t xml:space="preserve"> (i.e. continuation of the live event after failure of encoder or service node)</w:t>
      </w:r>
    </w:p>
    <w:p w:rsidR="00773C44" w:rsidRDefault="0045008D" w:rsidP="00773C44">
      <w:pPr>
        <w:pStyle w:val="ListParagraph"/>
        <w:numPr>
          <w:ilvl w:val="0"/>
          <w:numId w:val="1"/>
        </w:numPr>
      </w:pPr>
      <w:r>
        <w:t>The ingest specification</w:t>
      </w:r>
      <w:r w:rsidR="000E701C">
        <w:t xml:space="preserve"> shall support graceful</w:t>
      </w:r>
      <w:r>
        <w:t xml:space="preserve"> teardown of ingest of live stream events</w:t>
      </w:r>
    </w:p>
    <w:p w:rsidR="00A11229" w:rsidRDefault="00A11229" w:rsidP="00A11229"/>
    <w:p w:rsidR="00A11229" w:rsidRDefault="00A11229" w:rsidP="00A11229">
      <w:pPr>
        <w:pStyle w:val="Heading2"/>
        <w:rPr>
          <w:color w:val="1F4E79" w:themeColor="accent1" w:themeShade="80"/>
        </w:rPr>
      </w:pPr>
      <w:r>
        <w:rPr>
          <w:color w:val="1F4E79" w:themeColor="accent1" w:themeShade="80"/>
        </w:rPr>
        <w:t xml:space="preserve">Industry Support </w:t>
      </w:r>
    </w:p>
    <w:p w:rsidR="0045008D" w:rsidRDefault="00A11229" w:rsidP="0045008D">
      <w:pPr>
        <w:rPr>
          <w:rFonts w:eastAsia="Times New Roman"/>
          <w:lang w:val="en-GB"/>
        </w:rPr>
      </w:pPr>
      <w:r>
        <w:t xml:space="preserve">This document was contributed by Unified Streaming, </w:t>
      </w:r>
      <w:r w:rsidR="008A7015">
        <w:t xml:space="preserve">however </w:t>
      </w:r>
      <w:r w:rsidR="008A7015">
        <w:rPr>
          <w:rFonts w:eastAsia="Times New Roman"/>
        </w:rPr>
        <w:t>there is significant industry support for this, e.g. Broadcasters, Encoder vendors or CDNs which we will involve with the work.</w:t>
      </w:r>
    </w:p>
    <w:p w:rsidR="008A7015" w:rsidRPr="008A7015" w:rsidRDefault="008A7015" w:rsidP="0045008D">
      <w:pPr>
        <w:rPr>
          <w:rFonts w:eastAsia="Times New Roman"/>
          <w:lang w:val="en-GB"/>
        </w:rPr>
      </w:pPr>
    </w:p>
    <w:p w:rsidR="0045008D" w:rsidRDefault="0045008D" w:rsidP="0045008D">
      <w:pPr>
        <w:pStyle w:val="Heading2"/>
        <w:rPr>
          <w:color w:val="1F4E79" w:themeColor="accent1" w:themeShade="80"/>
        </w:rPr>
      </w:pPr>
      <w:r w:rsidRPr="00583E63">
        <w:rPr>
          <w:color w:val="1F4E79" w:themeColor="accent1" w:themeShade="80"/>
        </w:rPr>
        <w:t>Re</w:t>
      </w:r>
      <w:r>
        <w:rPr>
          <w:color w:val="1F4E79" w:themeColor="accent1" w:themeShade="80"/>
        </w:rPr>
        <w:t>commendation</w:t>
      </w:r>
    </w:p>
    <w:p w:rsidR="0045008D" w:rsidRDefault="0045008D" w:rsidP="0045008D">
      <w:r>
        <w:t xml:space="preserve">MPEG </w:t>
      </w:r>
      <w:r w:rsidR="00773C44">
        <w:t xml:space="preserve">NBMP </w:t>
      </w:r>
      <w:r>
        <w:t>should encourage industry standardization of live encoder ingest specification</w:t>
      </w:r>
      <w:r w:rsidR="00193A94">
        <w:t>, possibly on a fast track</w:t>
      </w:r>
      <w:r>
        <w:t>. This is missing in the digital ecosystem</w:t>
      </w:r>
      <w:r w:rsidR="000B7AD7">
        <w:t xml:space="preserve"> today making </w:t>
      </w:r>
      <w:r w:rsidR="0012240F">
        <w:t>interop in live streaming services difficult</w:t>
      </w:r>
      <w:r>
        <w:t xml:space="preserve">. </w:t>
      </w:r>
      <w:r w:rsidR="00EF5B18">
        <w:t>The s</w:t>
      </w:r>
      <w:r w:rsidR="0012240F">
        <w:t>tandard shall</w:t>
      </w:r>
      <w:r>
        <w:t xml:space="preserve"> have strong industry support and follow current industry practice. While the specification fits in the NBMP framework, we recommend an earlier</w:t>
      </w:r>
      <w:r w:rsidR="00EF5B18">
        <w:t xml:space="preserve"> CfP </w:t>
      </w:r>
      <w:r>
        <w:t xml:space="preserve">response date to feed the industry need for standardized ingest of media and meta-data content. </w:t>
      </w:r>
      <w:r w:rsidR="00EF5B18">
        <w:t xml:space="preserve">We suggest the following: </w:t>
      </w:r>
    </w:p>
    <w:p w:rsidR="00EF5B18" w:rsidRDefault="00EF5B18" w:rsidP="0045008D"/>
    <w:p w:rsidR="00EF5B18" w:rsidRDefault="00EF5B18" w:rsidP="00EF5B18">
      <w:pPr>
        <w:pStyle w:val="ListParagraph"/>
        <w:numPr>
          <w:ilvl w:val="0"/>
          <w:numId w:val="2"/>
        </w:numPr>
      </w:pPr>
      <w:r>
        <w:t>Prepare a call for proposals targeting live encoder ingest specification inviting major cloud media service providers</w:t>
      </w:r>
      <w:r w:rsidR="008A7015">
        <w:t xml:space="preserve">, </w:t>
      </w:r>
      <w:r>
        <w:t>live encoder vendors</w:t>
      </w:r>
      <w:r w:rsidR="008E34FB">
        <w:t xml:space="preserve"> </w:t>
      </w:r>
      <w:r w:rsidR="008A7015">
        <w:t xml:space="preserve">and broadcasters </w:t>
      </w:r>
      <w:r w:rsidR="008E34FB">
        <w:t>for standardization in the NBMP framework</w:t>
      </w:r>
    </w:p>
    <w:p w:rsidR="00A11229" w:rsidRDefault="008E34FB" w:rsidP="00A11229">
      <w:pPr>
        <w:pStyle w:val="ListParagraph"/>
        <w:numPr>
          <w:ilvl w:val="0"/>
          <w:numId w:val="2"/>
        </w:numPr>
      </w:pPr>
      <w:r>
        <w:t xml:space="preserve">If needed </w:t>
      </w:r>
      <w:r w:rsidR="00EF5B18">
        <w:t xml:space="preserve">establish an Ad Hoc group </w:t>
      </w:r>
      <w:r w:rsidR="006E43B4">
        <w:t xml:space="preserve">mandate </w:t>
      </w:r>
      <w:r w:rsidR="00EF5B18">
        <w:t>to target achieving</w:t>
      </w:r>
      <w:r>
        <w:t xml:space="preserve"> the encoder ingest standard </w:t>
      </w:r>
      <w:r w:rsidR="00BF4B13">
        <w:t>that focuses only on this matter to collect the full industry requirements</w:t>
      </w:r>
      <w:r>
        <w:t xml:space="preserve"> from interested parties</w:t>
      </w:r>
      <w:r w:rsidR="0012240F">
        <w:t xml:space="preserve">. </w:t>
      </w:r>
    </w:p>
    <w:sdt>
      <w:sdtPr>
        <w:rPr>
          <w:rFonts w:ascii="Times New Roman" w:eastAsia="MS Mincho" w:hAnsi="Times New Roman" w:cs="Times New Roman"/>
          <w:color w:val="auto"/>
          <w:sz w:val="24"/>
          <w:szCs w:val="24"/>
        </w:rPr>
        <w:id w:val="2029049944"/>
        <w:docPartObj>
          <w:docPartGallery w:val="Bibliographies"/>
          <w:docPartUnique/>
        </w:docPartObj>
      </w:sdtPr>
      <w:sdtEndPr/>
      <w:sdtContent>
        <w:p w:rsidR="00A11229" w:rsidRDefault="00A11229">
          <w:pPr>
            <w:pStyle w:val="Heading1"/>
          </w:pPr>
          <w:r>
            <w:t>References</w:t>
          </w:r>
        </w:p>
        <w:sdt>
          <w:sdtPr>
            <w:id w:val="-573587230"/>
            <w:bibliography/>
          </w:sdtPr>
          <w:sdtEndPr/>
          <w:sdtContent>
            <w:p w:rsidR="00A11229" w:rsidRDefault="00A11229" w:rsidP="00A11229">
              <w:pPr>
                <w:pStyle w:val="Bibliography"/>
                <w:rPr>
                  <w:noProof/>
                  <w:vanish/>
                </w:rPr>
              </w:pPr>
              <w:r>
                <w:fldChar w:fldCharType="begin"/>
              </w:r>
              <w:r>
                <w:instrText xml:space="preserve"> BIBLIOGRAPHY </w:instrText>
              </w:r>
              <w:r>
                <w:fldChar w:fldCharType="separate"/>
              </w:r>
              <w:r>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7"/>
              </w:tblGrid>
              <w:tr w:rsidR="00A11229" w:rsidTr="00A11229">
                <w:trPr>
                  <w:tblCellSpacing w:w="15" w:type="dxa"/>
                </w:trPr>
                <w:tc>
                  <w:tcPr>
                    <w:tcW w:w="0" w:type="auto"/>
                    <w:hideMark/>
                  </w:tcPr>
                  <w:p w:rsidR="00A11229" w:rsidRDefault="00A11229">
                    <w:pPr>
                      <w:pStyle w:val="Bibliography"/>
                      <w:jc w:val="right"/>
                      <w:rPr>
                        <w:noProof/>
                      </w:rPr>
                    </w:pPr>
                    <w:bookmarkStart w:id="2" w:name="Mic1"/>
                    <w:r>
                      <w:rPr>
                        <w:noProof/>
                      </w:rPr>
                      <w:t>[1]</w:t>
                    </w:r>
                    <w:bookmarkEnd w:id="2"/>
                  </w:p>
                </w:tc>
                <w:tc>
                  <w:tcPr>
                    <w:tcW w:w="0" w:type="auto"/>
                    <w:hideMark/>
                  </w:tcPr>
                  <w:p w:rsidR="00A11229" w:rsidRDefault="00A11229">
                    <w:pPr>
                      <w:pStyle w:val="Bibliography"/>
                      <w:rPr>
                        <w:noProof/>
                      </w:rPr>
                    </w:pPr>
                    <w:r>
                      <w:rPr>
                        <w:noProof/>
                      </w:rPr>
                      <w:t xml:space="preserve">Microsoft. Smooth Streaming Transport Protocol. [Online]. </w:t>
                    </w:r>
                    <w:hyperlink r:id="rId7" w:history="1">
                      <w:r>
                        <w:rPr>
                          <w:rStyle w:val="Hyperlink"/>
                          <w:noProof/>
                        </w:rPr>
                        <w:t>https://www.iis.net/learn/media/smooth-streaming/smooth-streaming-transport-protocol</w:t>
                      </w:r>
                    </w:hyperlink>
                  </w:p>
                </w:tc>
              </w:tr>
              <w:tr w:rsidR="00A11229" w:rsidTr="00A11229">
                <w:trPr>
                  <w:tblCellSpacing w:w="15" w:type="dxa"/>
                </w:trPr>
                <w:tc>
                  <w:tcPr>
                    <w:tcW w:w="0" w:type="auto"/>
                    <w:hideMark/>
                  </w:tcPr>
                  <w:p w:rsidR="00A11229" w:rsidRDefault="00A11229">
                    <w:pPr>
                      <w:pStyle w:val="Bibliography"/>
                      <w:jc w:val="right"/>
                      <w:rPr>
                        <w:noProof/>
                      </w:rPr>
                    </w:pPr>
                    <w:bookmarkStart w:id="3" w:name="ISO14"/>
                    <w:r>
                      <w:rPr>
                        <w:noProof/>
                      </w:rPr>
                      <w:t>[2]</w:t>
                    </w:r>
                    <w:bookmarkEnd w:id="3"/>
                  </w:p>
                </w:tc>
                <w:tc>
                  <w:tcPr>
                    <w:tcW w:w="0" w:type="auto"/>
                    <w:hideMark/>
                  </w:tcPr>
                  <w:p w:rsidR="00A11229" w:rsidRDefault="00A11229">
                    <w:pPr>
                      <w:pStyle w:val="Bibliography"/>
                      <w:rPr>
                        <w:noProof/>
                      </w:rPr>
                    </w:pPr>
                    <w:r>
                      <w:rPr>
                        <w:noProof/>
                      </w:rPr>
                      <w:t>ISO/IEC JCT1/SC29 MPEG, "ISO/IEC 23009-1:2014: Dynamic adaptive streaming over HTTP (DASH) -- Part 1: Media presentation description and segment formats," 2014.</w:t>
                    </w:r>
                  </w:p>
                </w:tc>
              </w:tr>
              <w:tr w:rsidR="00A11229" w:rsidTr="00A11229">
                <w:trPr>
                  <w:tblCellSpacing w:w="15" w:type="dxa"/>
                </w:trPr>
                <w:tc>
                  <w:tcPr>
                    <w:tcW w:w="0" w:type="auto"/>
                    <w:hideMark/>
                  </w:tcPr>
                  <w:p w:rsidR="00A11229" w:rsidRDefault="00A11229">
                    <w:pPr>
                      <w:pStyle w:val="Bibliography"/>
                      <w:jc w:val="right"/>
                      <w:rPr>
                        <w:noProof/>
                      </w:rPr>
                    </w:pPr>
                    <w:r>
                      <w:rPr>
                        <w:noProof/>
                      </w:rPr>
                      <w:t>[3]</w:t>
                    </w:r>
                  </w:p>
                </w:tc>
                <w:tc>
                  <w:tcPr>
                    <w:tcW w:w="0" w:type="auto"/>
                    <w:hideMark/>
                  </w:tcPr>
                  <w:p w:rsidR="00A11229" w:rsidRDefault="00A11229">
                    <w:pPr>
                      <w:pStyle w:val="Bibliography"/>
                      <w:rPr>
                        <w:noProof/>
                      </w:rPr>
                    </w:pPr>
                    <w:r>
                      <w:rPr>
                        <w:noProof/>
                      </w:rPr>
                      <w:t xml:space="preserve">Microsoft. (2017, July) Azure Media ingest specification. [Online]. </w:t>
                    </w:r>
                    <w:r w:rsidRPr="006E43B4">
                      <w:rPr>
                        <w:noProof/>
                      </w:rPr>
                      <w:t xml:space="preserve">Azure spec (https://docs.microsoft.com/en-us/azure/media-services/media-services-fmp4-live-ingest-overview), </w:t>
                    </w:r>
                  </w:p>
                </w:tc>
              </w:tr>
            </w:tbl>
            <w:p w:rsidR="00A11229" w:rsidRDefault="00A11229" w:rsidP="00A11229">
              <w:pPr>
                <w:pStyle w:val="Bibliography"/>
                <w:rPr>
                  <w:rFonts w:eastAsiaTheme="minorEastAsia"/>
                  <w:noProof/>
                  <w:vanish/>
                </w:rPr>
              </w:pPr>
              <w:r>
                <w:rPr>
                  <w:noProof/>
                  <w:vanish/>
                </w:rPr>
                <w:t>x</w:t>
              </w:r>
            </w:p>
            <w:p w:rsidR="00A11229" w:rsidRDefault="00A11229" w:rsidP="00A11229">
              <w:r>
                <w:rPr>
                  <w:b/>
                  <w:bCs/>
                  <w:noProof/>
                </w:rPr>
                <w:fldChar w:fldCharType="end"/>
              </w:r>
            </w:p>
          </w:sdtContent>
        </w:sdt>
      </w:sdtContent>
    </w:sdt>
    <w:p w:rsidR="00A11229" w:rsidRDefault="00A11229" w:rsidP="00A11229"/>
    <w:sectPr w:rsidR="00A112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25D27"/>
    <w:multiLevelType w:val="hybridMultilevel"/>
    <w:tmpl w:val="738428EE"/>
    <w:lvl w:ilvl="0" w:tplc="CCF8E700">
      <w:start w:val="2"/>
      <w:numFmt w:val="bullet"/>
      <w:lvlText w:val="-"/>
      <w:lvlJc w:val="left"/>
      <w:pPr>
        <w:ind w:left="720" w:hanging="360"/>
      </w:pPr>
      <w:rPr>
        <w:rFonts w:ascii="Times New Roman" w:eastAsia="MS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5B7157"/>
    <w:multiLevelType w:val="hybridMultilevel"/>
    <w:tmpl w:val="6CD22D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721"/>
    <w:rsid w:val="000B7AD7"/>
    <w:rsid w:val="000E701C"/>
    <w:rsid w:val="0012240F"/>
    <w:rsid w:val="00193A94"/>
    <w:rsid w:val="002B3721"/>
    <w:rsid w:val="00301259"/>
    <w:rsid w:val="0045008D"/>
    <w:rsid w:val="00583E63"/>
    <w:rsid w:val="005C60AC"/>
    <w:rsid w:val="005E758C"/>
    <w:rsid w:val="006E43B4"/>
    <w:rsid w:val="00770360"/>
    <w:rsid w:val="00773C44"/>
    <w:rsid w:val="008A7015"/>
    <w:rsid w:val="008E34FB"/>
    <w:rsid w:val="00935F19"/>
    <w:rsid w:val="00A11229"/>
    <w:rsid w:val="00BF4B13"/>
    <w:rsid w:val="00C56EBC"/>
    <w:rsid w:val="00C91149"/>
    <w:rsid w:val="00EF5B18"/>
    <w:rsid w:val="00FB205E"/>
    <w:rsid w:val="00FE37C6"/>
    <w:rsid w:val="00FF0C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F0D29E-3310-49F9-9128-D495A122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721"/>
    <w:pPr>
      <w:spacing w:after="0" w:line="240" w:lineRule="auto"/>
      <w:jc w:val="both"/>
    </w:pPr>
    <w:rPr>
      <w:rFonts w:ascii="Times New Roman" w:eastAsia="MS Mincho" w:hAnsi="Times New Roman" w:cs="Times New Roman"/>
      <w:sz w:val="24"/>
      <w:szCs w:val="24"/>
      <w:lang w:val="en-US"/>
    </w:rPr>
  </w:style>
  <w:style w:type="paragraph" w:styleId="Heading1">
    <w:name w:val="heading 1"/>
    <w:basedOn w:val="Normal"/>
    <w:next w:val="Normal"/>
    <w:link w:val="Heading1Char"/>
    <w:uiPriority w:val="9"/>
    <w:qFormat/>
    <w:rsid w:val="00A11229"/>
    <w:pPr>
      <w:keepNext/>
      <w:keepLines/>
      <w:spacing w:before="240" w:line="259" w:lineRule="auto"/>
      <w:jc w:val="lef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372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B3721"/>
    <w:pPr>
      <w:spacing w:after="200"/>
    </w:pPr>
    <w:rPr>
      <w:i/>
      <w:iCs/>
      <w:color w:val="44546A" w:themeColor="text2"/>
      <w:sz w:val="18"/>
      <w:szCs w:val="18"/>
    </w:rPr>
  </w:style>
  <w:style w:type="paragraph" w:styleId="NoSpacing">
    <w:name w:val="No Spacing"/>
    <w:uiPriority w:val="1"/>
    <w:qFormat/>
    <w:rsid w:val="002B3721"/>
    <w:pPr>
      <w:spacing w:after="0" w:line="240" w:lineRule="auto"/>
      <w:jc w:val="both"/>
    </w:pPr>
    <w:rPr>
      <w:rFonts w:ascii="Times New Roman" w:eastAsia="MS Mincho" w:hAnsi="Times New Roman" w:cs="Times New Roman"/>
      <w:sz w:val="24"/>
      <w:szCs w:val="24"/>
      <w:lang w:val="en-US"/>
    </w:rPr>
  </w:style>
  <w:style w:type="character" w:customStyle="1" w:styleId="Heading2Char">
    <w:name w:val="Heading 2 Char"/>
    <w:basedOn w:val="DefaultParagraphFont"/>
    <w:link w:val="Heading2"/>
    <w:uiPriority w:val="9"/>
    <w:rsid w:val="002B3721"/>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45008D"/>
    <w:pPr>
      <w:ind w:left="720"/>
      <w:contextualSpacing/>
    </w:pPr>
  </w:style>
  <w:style w:type="character" w:customStyle="1" w:styleId="Heading1Char">
    <w:name w:val="Heading 1 Char"/>
    <w:basedOn w:val="DefaultParagraphFont"/>
    <w:link w:val="Heading1"/>
    <w:uiPriority w:val="9"/>
    <w:rsid w:val="00A11229"/>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A11229"/>
  </w:style>
  <w:style w:type="character" w:styleId="Hyperlink">
    <w:name w:val="Hyperlink"/>
    <w:basedOn w:val="DefaultParagraphFont"/>
    <w:uiPriority w:val="99"/>
    <w:semiHidden/>
    <w:unhideWhenUsed/>
    <w:rsid w:val="00A112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2753">
      <w:bodyDiv w:val="1"/>
      <w:marLeft w:val="0"/>
      <w:marRight w:val="0"/>
      <w:marTop w:val="0"/>
      <w:marBottom w:val="0"/>
      <w:divBdr>
        <w:top w:val="none" w:sz="0" w:space="0" w:color="auto"/>
        <w:left w:val="none" w:sz="0" w:space="0" w:color="auto"/>
        <w:bottom w:val="none" w:sz="0" w:space="0" w:color="auto"/>
        <w:right w:val="none" w:sz="0" w:space="0" w:color="auto"/>
      </w:divBdr>
    </w:div>
    <w:div w:id="70469090">
      <w:bodyDiv w:val="1"/>
      <w:marLeft w:val="0"/>
      <w:marRight w:val="0"/>
      <w:marTop w:val="0"/>
      <w:marBottom w:val="0"/>
      <w:divBdr>
        <w:top w:val="none" w:sz="0" w:space="0" w:color="auto"/>
        <w:left w:val="none" w:sz="0" w:space="0" w:color="auto"/>
        <w:bottom w:val="none" w:sz="0" w:space="0" w:color="auto"/>
        <w:right w:val="none" w:sz="0" w:space="0" w:color="auto"/>
      </w:divBdr>
    </w:div>
    <w:div w:id="284626298">
      <w:bodyDiv w:val="1"/>
      <w:marLeft w:val="0"/>
      <w:marRight w:val="0"/>
      <w:marTop w:val="0"/>
      <w:marBottom w:val="0"/>
      <w:divBdr>
        <w:top w:val="none" w:sz="0" w:space="0" w:color="auto"/>
        <w:left w:val="none" w:sz="0" w:space="0" w:color="auto"/>
        <w:bottom w:val="none" w:sz="0" w:space="0" w:color="auto"/>
        <w:right w:val="none" w:sz="0" w:space="0" w:color="auto"/>
      </w:divBdr>
    </w:div>
    <w:div w:id="435490009">
      <w:bodyDiv w:val="1"/>
      <w:marLeft w:val="0"/>
      <w:marRight w:val="0"/>
      <w:marTop w:val="0"/>
      <w:marBottom w:val="0"/>
      <w:divBdr>
        <w:top w:val="none" w:sz="0" w:space="0" w:color="auto"/>
        <w:left w:val="none" w:sz="0" w:space="0" w:color="auto"/>
        <w:bottom w:val="none" w:sz="0" w:space="0" w:color="auto"/>
        <w:right w:val="none" w:sz="0" w:space="0" w:color="auto"/>
      </w:divBdr>
    </w:div>
    <w:div w:id="482281391">
      <w:bodyDiv w:val="1"/>
      <w:marLeft w:val="0"/>
      <w:marRight w:val="0"/>
      <w:marTop w:val="0"/>
      <w:marBottom w:val="0"/>
      <w:divBdr>
        <w:top w:val="none" w:sz="0" w:space="0" w:color="auto"/>
        <w:left w:val="none" w:sz="0" w:space="0" w:color="auto"/>
        <w:bottom w:val="none" w:sz="0" w:space="0" w:color="auto"/>
        <w:right w:val="none" w:sz="0" w:space="0" w:color="auto"/>
      </w:divBdr>
    </w:div>
    <w:div w:id="600114774">
      <w:bodyDiv w:val="1"/>
      <w:marLeft w:val="0"/>
      <w:marRight w:val="0"/>
      <w:marTop w:val="0"/>
      <w:marBottom w:val="0"/>
      <w:divBdr>
        <w:top w:val="none" w:sz="0" w:space="0" w:color="auto"/>
        <w:left w:val="none" w:sz="0" w:space="0" w:color="auto"/>
        <w:bottom w:val="none" w:sz="0" w:space="0" w:color="auto"/>
        <w:right w:val="none" w:sz="0" w:space="0" w:color="auto"/>
      </w:divBdr>
    </w:div>
    <w:div w:id="665016441">
      <w:bodyDiv w:val="1"/>
      <w:marLeft w:val="0"/>
      <w:marRight w:val="0"/>
      <w:marTop w:val="0"/>
      <w:marBottom w:val="0"/>
      <w:divBdr>
        <w:top w:val="none" w:sz="0" w:space="0" w:color="auto"/>
        <w:left w:val="none" w:sz="0" w:space="0" w:color="auto"/>
        <w:bottom w:val="none" w:sz="0" w:space="0" w:color="auto"/>
        <w:right w:val="none" w:sz="0" w:space="0" w:color="auto"/>
      </w:divBdr>
    </w:div>
    <w:div w:id="721557107">
      <w:bodyDiv w:val="1"/>
      <w:marLeft w:val="0"/>
      <w:marRight w:val="0"/>
      <w:marTop w:val="0"/>
      <w:marBottom w:val="0"/>
      <w:divBdr>
        <w:top w:val="none" w:sz="0" w:space="0" w:color="auto"/>
        <w:left w:val="none" w:sz="0" w:space="0" w:color="auto"/>
        <w:bottom w:val="none" w:sz="0" w:space="0" w:color="auto"/>
        <w:right w:val="none" w:sz="0" w:space="0" w:color="auto"/>
      </w:divBdr>
    </w:div>
    <w:div w:id="869685318">
      <w:bodyDiv w:val="1"/>
      <w:marLeft w:val="0"/>
      <w:marRight w:val="0"/>
      <w:marTop w:val="0"/>
      <w:marBottom w:val="0"/>
      <w:divBdr>
        <w:top w:val="none" w:sz="0" w:space="0" w:color="auto"/>
        <w:left w:val="none" w:sz="0" w:space="0" w:color="auto"/>
        <w:bottom w:val="none" w:sz="0" w:space="0" w:color="auto"/>
        <w:right w:val="none" w:sz="0" w:space="0" w:color="auto"/>
      </w:divBdr>
    </w:div>
    <w:div w:id="913323402">
      <w:bodyDiv w:val="1"/>
      <w:marLeft w:val="0"/>
      <w:marRight w:val="0"/>
      <w:marTop w:val="0"/>
      <w:marBottom w:val="0"/>
      <w:divBdr>
        <w:top w:val="none" w:sz="0" w:space="0" w:color="auto"/>
        <w:left w:val="none" w:sz="0" w:space="0" w:color="auto"/>
        <w:bottom w:val="none" w:sz="0" w:space="0" w:color="auto"/>
        <w:right w:val="none" w:sz="0" w:space="0" w:color="auto"/>
      </w:divBdr>
    </w:div>
    <w:div w:id="1007905738">
      <w:bodyDiv w:val="1"/>
      <w:marLeft w:val="0"/>
      <w:marRight w:val="0"/>
      <w:marTop w:val="0"/>
      <w:marBottom w:val="0"/>
      <w:divBdr>
        <w:top w:val="none" w:sz="0" w:space="0" w:color="auto"/>
        <w:left w:val="none" w:sz="0" w:space="0" w:color="auto"/>
        <w:bottom w:val="none" w:sz="0" w:space="0" w:color="auto"/>
        <w:right w:val="none" w:sz="0" w:space="0" w:color="auto"/>
      </w:divBdr>
    </w:div>
    <w:div w:id="1629699164">
      <w:bodyDiv w:val="1"/>
      <w:marLeft w:val="0"/>
      <w:marRight w:val="0"/>
      <w:marTop w:val="0"/>
      <w:marBottom w:val="0"/>
      <w:divBdr>
        <w:top w:val="none" w:sz="0" w:space="0" w:color="auto"/>
        <w:left w:val="none" w:sz="0" w:space="0" w:color="auto"/>
        <w:bottom w:val="none" w:sz="0" w:space="0" w:color="auto"/>
        <w:right w:val="none" w:sz="0" w:space="0" w:color="auto"/>
      </w:divBdr>
    </w:div>
    <w:div w:id="1805810378">
      <w:bodyDiv w:val="1"/>
      <w:marLeft w:val="0"/>
      <w:marRight w:val="0"/>
      <w:marTop w:val="0"/>
      <w:marBottom w:val="0"/>
      <w:divBdr>
        <w:top w:val="none" w:sz="0" w:space="0" w:color="auto"/>
        <w:left w:val="none" w:sz="0" w:space="0" w:color="auto"/>
        <w:bottom w:val="none" w:sz="0" w:space="0" w:color="auto"/>
        <w:right w:val="none" w:sz="0" w:space="0" w:color="auto"/>
      </w:divBdr>
    </w:div>
    <w:div w:id="1952781456">
      <w:bodyDiv w:val="1"/>
      <w:marLeft w:val="0"/>
      <w:marRight w:val="0"/>
      <w:marTop w:val="0"/>
      <w:marBottom w:val="0"/>
      <w:divBdr>
        <w:top w:val="none" w:sz="0" w:space="0" w:color="auto"/>
        <w:left w:val="none" w:sz="0" w:space="0" w:color="auto"/>
        <w:bottom w:val="none" w:sz="0" w:space="0" w:color="auto"/>
        <w:right w:val="none" w:sz="0" w:space="0" w:color="auto"/>
      </w:divBdr>
    </w:div>
    <w:div w:id="199093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is.net/learn/media/smooth-streaming/smooth-streaming-transport-protoco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1">
  <b:Source>
    <b:Tag>ISO14</b:Tag>
    <b:SourceType>Report</b:SourceType>
    <b:Guid>{32746A01-906A-4B9A-9315-5E335C54178C}</b:Guid>
    <b:Title>ISO/IEC 23009-1:2014: Dynamic adaptive streaming over HTTP (DASH) -- Part 1: Media presentation description and segment formats</b:Title>
    <b:Year>2014</b:Year>
    <b:Author>
      <b:Author>
        <b:Corporate>ISO/IEC JCT1/SC29 MPEG</b:Corporate>
      </b:Author>
    </b:Author>
    <b:Publisher>ISO</b:Publisher>
    <b:RefOrder>3</b:RefOrder>
  </b:Source>
  <b:Source>
    <b:Tag>Mic1</b:Tag>
    <b:SourceType>InternetSite</b:SourceType>
    <b:Guid>{9F805588-4AE3-4624-98CE-F8E58AD8D7D7}</b:Guid>
    <b:Author>
      <b:Author>
        <b:Corporate>Microsoft</b:Corporate>
      </b:Author>
    </b:Author>
    <b:Title>Smooth Streaming Transport Protocol</b:Title>
    <b:URL>https://www.iis.net/learn/media/smooth-streaming/smooth-streaming-transport-protocol</b:URL>
    <b:RefOrder>2</b:RefOrder>
  </b:Source>
  <b:Source>
    <b:Tag>Mic172</b:Tag>
    <b:SourceType>InternetSite</b:SourceType>
    <b:Guid>{FA8DD386-FBCA-451B-95EC-DFDE05B0EFD1}</b:Guid>
    <b:Author>
      <b:Author>
        <b:NameList>
          <b:Person>
            <b:Last>Microsoft</b:Last>
          </b:Person>
        </b:NameList>
      </b:Author>
    </b:Author>
    <b:InternetSiteTitle>Azure Media ingest specification</b:InternetSiteTitle>
    <b:Year>2017</b:Year>
    <b:Month>7</b:Month>
    <b:URL>er is de Azure spec (https://docs.microsoft.com/en-us/azure/media-services/media-services-fmp4-live-ingest-overview), </b:URL>
    <b:RefOrder>1</b:RefOrder>
  </b:Source>
  <b:Source>
    <b:Tag>MPE15</b:Tag>
    <b:SourceType>Report</b:SourceType>
    <b:Guid>{5EA40C5C-08CD-4FCD-92FB-F575A7C9A5C1}</b:Guid>
    <b:Author>
      <b:Author>
        <b:Corporate>MPEG</b:Corporate>
      </b:Author>
    </b:Author>
    <b:Year>2015</b:Year>
    <b:Title>Information Technology  - coding of audio visual objects, ISO Base media file format</b:Title>
    <b:StandardNumber>ISO/IEC 14496-12</b:StandardNumber>
    <b:RefOrder>5</b:RefOrder>
  </b:Source>
  <b:Source>
    <b:Tag>SCT16</b:Tag>
    <b:SourceType>Report</b:SourceType>
    <b:Guid>{83372E77-B3D4-42DC-A42B-7170C4C949FC}</b:Guid>
    <b:Author>
      <b:Author>
        <b:Corporate>SCTE 35</b:Corporate>
      </b:Author>
    </b:Author>
    <b:Title>Digital Program Insertion Cueing Message for Cable</b:Title>
    <b:Year>2016</b:Year>
    <b:Institution>SCTE</b:Institution>
    <b:StandardNumber>SCTE 35 2016</b:StandardNumber>
    <b:RefOrder>4</b:RefOrder>
  </b:Source>
</b:Sources>
</file>

<file path=customXml/itemProps1.xml><?xml version="1.0" encoding="utf-8"?>
<ds:datastoreItem xmlns:ds="http://schemas.openxmlformats.org/officeDocument/2006/customXml" ds:itemID="{96E70C18-430B-4608-9F62-5AF7276BF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1727</TotalTime>
  <Pages>3</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rufael mekuria</dc:creator>
  <cp:keywords/>
  <dc:description/>
  <cp:lastModifiedBy>rufael mekuria</cp:lastModifiedBy>
  <cp:revision>20</cp:revision>
  <dcterms:created xsi:type="dcterms:W3CDTF">2017-10-21T17:40:00Z</dcterms:created>
  <dcterms:modified xsi:type="dcterms:W3CDTF">2017-10-26T01:10:00Z</dcterms:modified>
</cp:coreProperties>
</file>