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1696F"/>
          <w:sz w:val="20"/>
        </w:rPr>
        <w:t>DHL GLOBAL FORWARDING</w:t>
      </w:r>
      <w:r>
        <w:rPr>
          <w:rFonts w:ascii="Calibri" w:hAnsi="Calibri"/>
          <w:b w:val="0"/>
          <w:color w:val="7A7974"/>
          <w:sz w:val="20"/>
        </w:rPr>
        <w:t xml:space="preserve">   |   Ocean Freight &amp; Project Cargo Division</w:t>
      </w:r>
    </w:p>
    <w:p>
      <w:r>
        <w:rPr>
          <w:rFonts w:ascii="Calibri" w:hAnsi="Calibri"/>
          <w:b/>
          <w:color w:val="28251D"/>
          <w:sz w:val="44"/>
        </w:rPr>
        <w:t>EXECUTIVE SUMMARY</w:t>
      </w:r>
    </w:p>
    <w:p>
      <w:r>
        <w:rPr>
          <w:rFonts w:ascii="Calibri" w:hAnsi="Calibri"/>
          <w:b w:val="0"/>
          <w:color w:val="7A7974"/>
          <w:sz w:val="24"/>
        </w:rPr>
        <w:t>Master Logbook · 57 Shipments · 2021 – 2026</w:t>
      </w:r>
    </w:p>
    <w:p/>
    <w:p>
      <w:r>
        <w:rPr>
          <w:rFonts w:ascii="Calibri" w:hAnsi="Calibri"/>
          <w:b/>
          <w:color w:val="01696F"/>
          <w:sz w:val="22"/>
        </w:rPr>
        <w:t xml:space="preserve">Headline. </w:t>
      </w:r>
      <w:r>
        <w:rPr>
          <w:rFonts w:ascii="Calibri" w:hAnsi="Calibri"/>
          <w:b w:val="0"/>
          <w:color w:val="28251D"/>
          <w:sz w:val="22"/>
        </w:rPr>
        <w:t>Across 57 ocean-freight shipments dispatched between December 2021 and February 2026, DHL Global Forwarding moved EUR 8,869,000 of capital industrial equipment from Singapore to Pacific transit ports for two principal buyers (Marine Power Solutions and Pacific Heavy Machinery). 31 shipments have been fully delivered to their final destinations; 26 remain in bonded storage at the transit ports awaiting onward shipping instructions from the consignees.</w:t>
      </w:r>
    </w:p>
    <w:p/>
    <w:p>
      <w:r>
        <w:rPr>
          <w:rFonts w:ascii="Calibri" w:hAnsi="Calibri"/>
          <w:b/>
          <w:color w:val="01696F"/>
          <w:sz w:val="26"/>
        </w:rPr>
        <w:t>KEY METRICS</w:t>
      </w:r>
    </w:p>
    <w:tbl>
      <w:tblPr>
        <w:tblW w:type="auto" w:w="0"/>
        <w:tblLayout w:type="fixed"/>
        <w:tblLook w:firstColumn="1" w:firstRow="1" w:lastColumn="0" w:lastRow="0" w:noHBand="0" w:noVBand="1" w:val="04A0"/>
      </w:tblPr>
      <w:tblGrid>
        <w:gridCol w:w="4535"/>
        <w:gridCol w:w="4819"/>
      </w:tblGrid>
      <w:tr>
        <w:tc>
          <w:tcPr>
            <w:tcW w:type="dxa" w:w="45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20"/>
              </w:rPr>
              <w:t>Total shipments</w:t>
            </w:r>
          </w:p>
        </w:tc>
        <w:tc>
          <w:tcPr>
            <w:tcW w:type="dxa" w:w="481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20"/>
              </w:rPr>
              <w:t>57</w:t>
            </w:r>
          </w:p>
        </w:tc>
      </w:tr>
      <w:tr>
        <w:tc>
          <w:tcPr>
            <w:tcW w:type="dxa" w:w="45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20"/>
              </w:rPr>
              <w:t>Delivered</w:t>
            </w:r>
          </w:p>
        </w:tc>
        <w:tc>
          <w:tcPr>
            <w:tcW w:type="dxa" w:w="481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20"/>
              </w:rPr>
              <w:t>31  (54%)</w:t>
            </w:r>
          </w:p>
        </w:tc>
      </w:tr>
      <w:tr>
        <w:tc>
          <w:tcPr>
            <w:tcW w:type="dxa" w:w="45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20"/>
              </w:rPr>
              <w:t>In depot (pending instructions)</w:t>
            </w:r>
          </w:p>
        </w:tc>
        <w:tc>
          <w:tcPr>
            <w:tcW w:type="dxa" w:w="481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20"/>
              </w:rPr>
              <w:t>26  (46%)</w:t>
            </w:r>
          </w:p>
        </w:tc>
      </w:tr>
      <w:tr>
        <w:tc>
          <w:tcPr>
            <w:tcW w:type="dxa" w:w="45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20"/>
              </w:rPr>
              <w:t>Total goods value</w:t>
            </w:r>
          </w:p>
        </w:tc>
        <w:tc>
          <w:tcPr>
            <w:tcW w:type="dxa" w:w="481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20"/>
              </w:rPr>
              <w:t>EUR 8,869,000</w:t>
            </w:r>
          </w:p>
        </w:tc>
      </w:tr>
      <w:tr>
        <w:tc>
          <w:tcPr>
            <w:tcW w:type="dxa" w:w="45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20"/>
              </w:rPr>
              <w:t>Goods value delivered</w:t>
            </w:r>
          </w:p>
        </w:tc>
        <w:tc>
          <w:tcPr>
            <w:tcW w:type="dxa" w:w="481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20"/>
              </w:rPr>
              <w:t>EUR 4,733,000</w:t>
            </w:r>
          </w:p>
        </w:tc>
      </w:tr>
      <w:tr>
        <w:tc>
          <w:tcPr>
            <w:tcW w:type="dxa" w:w="45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20"/>
              </w:rPr>
              <w:t>Goods value in depot</w:t>
            </w:r>
          </w:p>
        </w:tc>
        <w:tc>
          <w:tcPr>
            <w:tcW w:type="dxa" w:w="481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20"/>
              </w:rPr>
              <w:t>EUR 4,136,000</w:t>
            </w:r>
          </w:p>
        </w:tc>
      </w:tr>
      <w:tr>
        <w:tc>
          <w:tcPr>
            <w:tcW w:type="dxa" w:w="45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20"/>
              </w:rPr>
              <w:t>Total freight billed</w:t>
            </w:r>
          </w:p>
        </w:tc>
        <w:tc>
          <w:tcPr>
            <w:tcW w:type="dxa" w:w="481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20"/>
              </w:rPr>
              <w:t>USD 269,180</w:t>
            </w:r>
          </w:p>
        </w:tc>
      </w:tr>
      <w:tr>
        <w:tc>
          <w:tcPr>
            <w:tcW w:type="dxa" w:w="45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20"/>
              </w:rPr>
              <w:t>Transit port — Port Moresby (PNG)</w:t>
            </w:r>
          </w:p>
        </w:tc>
        <w:tc>
          <w:tcPr>
            <w:tcW w:type="dxa" w:w="481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20"/>
              </w:rPr>
              <w:t>27 shipments</w:t>
            </w:r>
          </w:p>
        </w:tc>
      </w:tr>
      <w:tr>
        <w:tc>
          <w:tcPr>
            <w:tcW w:type="dxa" w:w="45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20"/>
              </w:rPr>
              <w:t>Transit port — Port of Suva (Fiji)</w:t>
            </w:r>
          </w:p>
        </w:tc>
        <w:tc>
          <w:tcPr>
            <w:tcW w:type="dxa" w:w="481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20"/>
              </w:rPr>
              <w:t>30 shipments</w:t>
            </w:r>
          </w:p>
        </w:tc>
      </w:tr>
    </w:tbl>
    <w:p/>
    <w:p>
      <w:r>
        <w:rPr>
          <w:rFonts w:ascii="Calibri" w:hAnsi="Calibri"/>
          <w:b/>
          <w:color w:val="01696F"/>
          <w:sz w:val="26"/>
        </w:rPr>
        <w:t>DEPOT RISK ANALYSIS</w:t>
      </w:r>
    </w:p>
    <w:p>
      <w:r>
        <w:rPr>
          <w:rFonts w:ascii="Calibri" w:hAnsi="Calibri"/>
          <w:b w:val="0"/>
          <w:color w:val="28251D"/>
          <w:sz w:val="20"/>
        </w:rPr>
        <w:t>All 26 depot shipments cleared customs at their transit port but remain in bonded storage awaiting written shipping instructions from the consignee for onward movement to the final destination. The oldest shipment (DHL-SWB-029) cleared on 2024-03-18 and has been in storage for 790 days; the most recent cleared 48 days ago. Average dwell across all 26 depot shipments is 322 days.</w:t>
      </w:r>
    </w:p>
    <w:p/>
    <w:p>
      <w:r>
        <w:rPr>
          <w:rFonts w:ascii="Calibri" w:hAnsi="Calibri"/>
          <w:b/>
          <w:color w:val="A12C7B"/>
          <w:sz w:val="20"/>
        </w:rPr>
        <w:t xml:space="preserve">Critical (&gt;365 days in storage): 10 shipments — formal demand letters recommended. </w:t>
      </w:r>
      <w:r>
        <w:rPr>
          <w:rFonts w:ascii="Calibri" w:hAnsi="Calibri"/>
          <w:b/>
          <w:color w:val="964219"/>
          <w:sz w:val="20"/>
        </w:rPr>
        <w:t xml:space="preserve">High priority (180–365 days): 8 shipments — escalation calls due. </w:t>
      </w:r>
    </w:p>
    <w:p/>
    <w:p>
      <w:r>
        <w:rPr>
          <w:rFonts w:ascii="Calibri" w:hAnsi="Calibri"/>
          <w:b/>
          <w:color w:val="01696F"/>
          <w:sz w:val="22"/>
        </w:rPr>
        <w:t>CRITICAL DEPOT SHIPMENTS (&gt;365 days)</w:t>
      </w:r>
    </w:p>
    <w:tbl>
      <w:tblPr>
        <w:tblW w:type="auto" w:w="0"/>
        <w:tblLayout w:type="fixed"/>
        <w:tblLook w:firstColumn="1" w:firstRow="1" w:lastColumn="0" w:lastRow="0" w:noHBand="0" w:noVBand="1" w:val="04A0"/>
      </w:tblPr>
      <w:tblGrid>
        <w:gridCol w:w="1361"/>
        <w:gridCol w:w="1814"/>
        <w:gridCol w:w="1304"/>
        <w:gridCol w:w="1134"/>
        <w:gridCol w:w="1417"/>
        <w:gridCol w:w="1984"/>
      </w:tblGrid>
      <w:tr>
        <w:tc>
          <w:tcPr>
            <w:tcW w:type="dxa" w:w="1361"/>
            <w:tcBorders>
              <w:top w:val="single" w:sz="4" w:color="01696F"/>
              <w:left w:val="single" w:sz="4" w:color="01696F"/>
              <w:bottom w:val="single" w:sz="4" w:color="01696F"/>
              <w:right w:val="single" w:sz="4" w:color="01696F"/>
            </w:tcBorders>
            <w:shd w:val="clear" w:color="auto" w:fill="01696F"/>
          </w:tcPr>
          <w:p>
            <w:pPr>
              <w:spacing w:after="0"/>
            </w:pPr>
            <w:r>
              <w:rPr>
                <w:rFonts w:ascii="Calibri" w:hAnsi="Calibri"/>
                <w:b/>
                <w:color w:val="FFFFFF"/>
                <w:sz w:val="18"/>
              </w:rPr>
              <w:t>SWB</w:t>
            </w:r>
          </w:p>
        </w:tc>
        <w:tc>
          <w:tcPr>
            <w:tcW w:type="dxa" w:w="1814"/>
            <w:tcBorders>
              <w:top w:val="single" w:sz="4" w:color="01696F"/>
              <w:left w:val="single" w:sz="4" w:color="01696F"/>
              <w:bottom w:val="single" w:sz="4" w:color="01696F"/>
              <w:right w:val="single" w:sz="4" w:color="01696F"/>
            </w:tcBorders>
            <w:shd w:val="clear" w:color="auto" w:fill="01696F"/>
          </w:tcPr>
          <w:p>
            <w:pPr>
              <w:spacing w:after="0"/>
            </w:pPr>
            <w:r>
              <w:rPr>
                <w:rFonts w:ascii="Calibri" w:hAnsi="Calibri"/>
                <w:b/>
                <w:color w:val="FFFFFF"/>
                <w:sz w:val="18"/>
              </w:rPr>
              <w:t>Product</w:t>
            </w:r>
          </w:p>
        </w:tc>
        <w:tc>
          <w:tcPr>
            <w:tcW w:type="dxa" w:w="1304"/>
            <w:tcBorders>
              <w:top w:val="single" w:sz="4" w:color="01696F"/>
              <w:left w:val="single" w:sz="4" w:color="01696F"/>
              <w:bottom w:val="single" w:sz="4" w:color="01696F"/>
              <w:right w:val="single" w:sz="4" w:color="01696F"/>
            </w:tcBorders>
            <w:shd w:val="clear" w:color="auto" w:fill="01696F"/>
          </w:tcPr>
          <w:p>
            <w:pPr>
              <w:spacing w:after="0"/>
            </w:pPr>
            <w:r>
              <w:rPr>
                <w:rFonts w:ascii="Calibri" w:hAnsi="Calibri"/>
                <w:b/>
                <w:color w:val="FFFFFF"/>
                <w:sz w:val="18"/>
              </w:rPr>
              <w:t>Cleared</w:t>
            </w:r>
          </w:p>
        </w:tc>
        <w:tc>
          <w:tcPr>
            <w:tcW w:type="dxa" w:w="1134"/>
            <w:tcBorders>
              <w:top w:val="single" w:sz="4" w:color="01696F"/>
              <w:left w:val="single" w:sz="4" w:color="01696F"/>
              <w:bottom w:val="single" w:sz="4" w:color="01696F"/>
              <w:right w:val="single" w:sz="4" w:color="01696F"/>
            </w:tcBorders>
            <w:shd w:val="clear" w:color="auto" w:fill="01696F"/>
          </w:tcPr>
          <w:p>
            <w:pPr>
              <w:spacing w:after="0"/>
            </w:pPr>
            <w:r>
              <w:rPr>
                <w:rFonts w:ascii="Calibri" w:hAnsi="Calibri"/>
                <w:b/>
                <w:color w:val="FFFFFF"/>
                <w:sz w:val="18"/>
              </w:rPr>
              <w:t>Days</w:t>
            </w:r>
          </w:p>
        </w:tc>
        <w:tc>
          <w:tcPr>
            <w:tcW w:type="dxa" w:w="1417"/>
            <w:tcBorders>
              <w:top w:val="single" w:sz="4" w:color="01696F"/>
              <w:left w:val="single" w:sz="4" w:color="01696F"/>
              <w:bottom w:val="single" w:sz="4" w:color="01696F"/>
              <w:right w:val="single" w:sz="4" w:color="01696F"/>
            </w:tcBorders>
            <w:shd w:val="clear" w:color="auto" w:fill="01696F"/>
          </w:tcPr>
          <w:p>
            <w:pPr>
              <w:spacing w:after="0"/>
            </w:pPr>
            <w:r>
              <w:rPr>
                <w:rFonts w:ascii="Calibri" w:hAnsi="Calibri"/>
                <w:b/>
                <w:color w:val="FFFFFF"/>
                <w:sz w:val="18"/>
              </w:rPr>
              <w:t>Goods (EUR)</w:t>
            </w:r>
          </w:p>
        </w:tc>
        <w:tc>
          <w:tcPr>
            <w:tcW w:type="dxa" w:w="1984"/>
            <w:tcBorders>
              <w:top w:val="single" w:sz="4" w:color="01696F"/>
              <w:left w:val="single" w:sz="4" w:color="01696F"/>
              <w:bottom w:val="single" w:sz="4" w:color="01696F"/>
              <w:right w:val="single" w:sz="4" w:color="01696F"/>
            </w:tcBorders>
            <w:shd w:val="clear" w:color="auto" w:fill="01696F"/>
          </w:tcPr>
          <w:p>
            <w:pPr>
              <w:spacing w:after="0"/>
            </w:pPr>
            <w:r>
              <w:rPr>
                <w:rFonts w:ascii="Calibri" w:hAnsi="Calibri"/>
                <w:b/>
                <w:color w:val="FFFFFF"/>
                <w:sz w:val="18"/>
              </w:rPr>
              <w:t>Final Destination</w:t>
            </w:r>
          </w:p>
        </w:tc>
      </w:tr>
      <w:tr>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DHL-SWB-029</w:t>
            </w:r>
          </w:p>
        </w:tc>
        <w:tc>
          <w:tcPr>
            <w:tcW w:type="dxa" w:w="181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Cyl Liner</w:t>
            </w:r>
          </w:p>
        </w:tc>
        <w:tc>
          <w:tcPr>
            <w:tcW w:type="dxa" w:w="130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2024-03-18</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790</w:t>
            </w:r>
          </w:p>
        </w:tc>
        <w:tc>
          <w:tcPr>
            <w:tcW w:type="dxa" w:w="141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w:t>
            </w:r>
          </w:p>
        </w:tc>
        <w:tc>
          <w:tcPr>
            <w:tcW w:type="dxa" w:w="198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PNG Depot Area</w:t>
            </w:r>
          </w:p>
        </w:tc>
      </w:tr>
      <w:tr>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DHL-SWB-030</w:t>
            </w:r>
          </w:p>
        </w:tc>
        <w:tc>
          <w:tcPr>
            <w:tcW w:type="dxa" w:w="181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Cyl Liner</w:t>
            </w:r>
          </w:p>
        </w:tc>
        <w:tc>
          <w:tcPr>
            <w:tcW w:type="dxa" w:w="130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2024-05-20</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727</w:t>
            </w:r>
          </w:p>
        </w:tc>
        <w:tc>
          <w:tcPr>
            <w:tcW w:type="dxa" w:w="141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w:t>
            </w:r>
          </w:p>
        </w:tc>
        <w:tc>
          <w:tcPr>
            <w:tcW w:type="dxa" w:w="198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PNG Depot Area</w:t>
            </w:r>
          </w:p>
        </w:tc>
      </w:tr>
      <w:tr>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DHL-SWB-033</w:t>
            </w:r>
          </w:p>
        </w:tc>
        <w:tc>
          <w:tcPr>
            <w:tcW w:type="dxa" w:w="181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Cyl Liner</w:t>
            </w:r>
          </w:p>
        </w:tc>
        <w:tc>
          <w:tcPr>
            <w:tcW w:type="dxa" w:w="130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2024-06-22</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694</w:t>
            </w:r>
          </w:p>
        </w:tc>
        <w:tc>
          <w:tcPr>
            <w:tcW w:type="dxa" w:w="141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w:t>
            </w:r>
          </w:p>
        </w:tc>
        <w:tc>
          <w:tcPr>
            <w:tcW w:type="dxa" w:w="198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PNG Depot Area</w:t>
            </w:r>
          </w:p>
        </w:tc>
      </w:tr>
      <w:tr>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DHL-SWB-034</w:t>
            </w:r>
          </w:p>
        </w:tc>
        <w:tc>
          <w:tcPr>
            <w:tcW w:type="dxa" w:w="181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Cyl Liner</w:t>
            </w:r>
          </w:p>
        </w:tc>
        <w:tc>
          <w:tcPr>
            <w:tcW w:type="dxa" w:w="130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2024-10-12</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582</w:t>
            </w:r>
          </w:p>
        </w:tc>
        <w:tc>
          <w:tcPr>
            <w:tcW w:type="dxa" w:w="141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w:t>
            </w:r>
          </w:p>
        </w:tc>
        <w:tc>
          <w:tcPr>
            <w:tcW w:type="dxa" w:w="198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PNG Depot Area</w:t>
            </w:r>
          </w:p>
        </w:tc>
      </w:tr>
      <w:tr>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DHL-SWB-036</w:t>
            </w:r>
          </w:p>
        </w:tc>
        <w:tc>
          <w:tcPr>
            <w:tcW w:type="dxa" w:w="181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Cyl Liner</w:t>
            </w:r>
          </w:p>
        </w:tc>
        <w:tc>
          <w:tcPr>
            <w:tcW w:type="dxa" w:w="130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2025-02-25</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446</w:t>
            </w:r>
          </w:p>
        </w:tc>
        <w:tc>
          <w:tcPr>
            <w:tcW w:type="dxa" w:w="141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w:t>
            </w:r>
          </w:p>
        </w:tc>
        <w:tc>
          <w:tcPr>
            <w:tcW w:type="dxa" w:w="198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PNG Depot Area</w:t>
            </w:r>
          </w:p>
        </w:tc>
      </w:tr>
      <w:tr>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DHL-SWB-037</w:t>
            </w:r>
          </w:p>
        </w:tc>
        <w:tc>
          <w:tcPr>
            <w:tcW w:type="dxa" w:w="181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Cyl Head</w:t>
            </w:r>
          </w:p>
        </w:tc>
        <w:tc>
          <w:tcPr>
            <w:tcW w:type="dxa" w:w="130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2025-02-26</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445</w:t>
            </w:r>
          </w:p>
        </w:tc>
        <w:tc>
          <w:tcPr>
            <w:tcW w:type="dxa" w:w="141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w:t>
            </w:r>
          </w:p>
        </w:tc>
        <w:tc>
          <w:tcPr>
            <w:tcW w:type="dxa" w:w="198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 Depot Area</w:t>
            </w:r>
          </w:p>
        </w:tc>
      </w:tr>
      <w:tr>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DHL-SWB-038</w:t>
            </w:r>
          </w:p>
        </w:tc>
        <w:tc>
          <w:tcPr>
            <w:tcW w:type="dxa" w:w="181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Cyl Liner</w:t>
            </w:r>
          </w:p>
        </w:tc>
        <w:tc>
          <w:tcPr>
            <w:tcW w:type="dxa" w:w="130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2025-03-22</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421</w:t>
            </w:r>
          </w:p>
        </w:tc>
        <w:tc>
          <w:tcPr>
            <w:tcW w:type="dxa" w:w="141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w:t>
            </w:r>
          </w:p>
        </w:tc>
        <w:tc>
          <w:tcPr>
            <w:tcW w:type="dxa" w:w="198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PNG Depot Area</w:t>
            </w:r>
          </w:p>
        </w:tc>
      </w:tr>
      <w:tr>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DHL-SWB-039</w:t>
            </w:r>
          </w:p>
        </w:tc>
        <w:tc>
          <w:tcPr>
            <w:tcW w:type="dxa" w:w="181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Cyl Liner</w:t>
            </w:r>
          </w:p>
        </w:tc>
        <w:tc>
          <w:tcPr>
            <w:tcW w:type="dxa" w:w="130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2025-04-29</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383</w:t>
            </w:r>
          </w:p>
        </w:tc>
        <w:tc>
          <w:tcPr>
            <w:tcW w:type="dxa" w:w="141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w:t>
            </w:r>
          </w:p>
        </w:tc>
        <w:tc>
          <w:tcPr>
            <w:tcW w:type="dxa" w:w="198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PNG Depot Area</w:t>
            </w:r>
          </w:p>
        </w:tc>
      </w:tr>
      <w:tr>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DHL-SWB-040</w:t>
            </w:r>
          </w:p>
        </w:tc>
        <w:tc>
          <w:tcPr>
            <w:tcW w:type="dxa" w:w="181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w:t>
            </w:r>
          </w:p>
        </w:tc>
        <w:tc>
          <w:tcPr>
            <w:tcW w:type="dxa" w:w="130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2025-05-04</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378</w:t>
            </w:r>
          </w:p>
        </w:tc>
        <w:tc>
          <w:tcPr>
            <w:tcW w:type="dxa" w:w="141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w:t>
            </w:r>
          </w:p>
        </w:tc>
        <w:tc>
          <w:tcPr>
            <w:tcW w:type="dxa" w:w="198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 Depot Area</w:t>
            </w:r>
          </w:p>
        </w:tc>
      </w:tr>
      <w:tr>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DHL-SWB-041</w:t>
            </w:r>
          </w:p>
        </w:tc>
        <w:tc>
          <w:tcPr>
            <w:tcW w:type="dxa" w:w="181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Excavator Bucket</w:t>
            </w:r>
          </w:p>
        </w:tc>
        <w:tc>
          <w:tcPr>
            <w:tcW w:type="dxa" w:w="130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2025-05-13</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369</w:t>
            </w:r>
          </w:p>
        </w:tc>
        <w:tc>
          <w:tcPr>
            <w:tcW w:type="dxa" w:w="141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w:t>
            </w:r>
          </w:p>
        </w:tc>
        <w:tc>
          <w:tcPr>
            <w:tcW w:type="dxa" w:w="198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Fiji Depot Area</w:t>
            </w:r>
          </w:p>
        </w:tc>
      </w:tr>
    </w:tbl>
    <w:p/>
    <w:p>
      <w:r>
        <w:rPr>
          <w:rFonts w:ascii="Calibri" w:hAnsi="Calibri"/>
          <w:b/>
          <w:color w:val="01696F"/>
          <w:sz w:val="26"/>
        </w:rPr>
        <w:t>RECOMMENDED ACTIONS</w:t>
      </w:r>
    </w:p>
    <w:p>
      <w:r>
        <w:rPr>
          <w:rFonts w:ascii="Calibri" w:hAnsi="Calibri"/>
          <w:b w:val="0"/>
          <w:color w:val="28251D"/>
          <w:sz w:val="20"/>
        </w:rPr>
        <w:t>1. Issue formal demand letters to the consignees of all CRITICAL (&gt;365-day) depot shipments within 14 days, requesting written shipping instructions and re-confirmation of final destination.</w:t>
      </w:r>
    </w:p>
    <w:p>
      <w:r>
        <w:rPr>
          <w:rFonts w:ascii="Calibri" w:hAnsi="Calibri"/>
          <w:b w:val="0"/>
          <w:color w:val="28251D"/>
          <w:sz w:val="20"/>
        </w:rPr>
        <w:t>2. Escalate HIGH-priority cases (180–365 days) to the buyers' procurement directors with copy to the seller's commercial team — propose a joint conference call to unblock.</w:t>
      </w:r>
    </w:p>
    <w:p>
      <w:r>
        <w:rPr>
          <w:rFonts w:ascii="Calibri" w:hAnsi="Calibri"/>
          <w:b w:val="0"/>
          <w:color w:val="28251D"/>
          <w:sz w:val="20"/>
        </w:rPr>
        <w:t>3. Re-tender freight quotes for onward shipping from PNG/Fiji depots to Australia, New Zealand, Korea (Direct), and Korea (Transit), with multimodal alternatives.</w:t>
      </w:r>
    </w:p>
    <w:p>
      <w:r>
        <w:rPr>
          <w:rFonts w:ascii="Calibri" w:hAnsi="Calibri"/>
          <w:b w:val="0"/>
          <w:color w:val="28251D"/>
          <w:sz w:val="20"/>
        </w:rPr>
        <w:t>4. Conduct full container/seal integrity verification on all CRITICAL shipments and reissue Warehouse Receipts.</w:t>
      </w:r>
    </w:p>
    <w:p>
      <w:r>
        <w:rPr>
          <w:rFonts w:ascii="Calibri" w:hAnsi="Calibri"/>
          <w:b w:val="0"/>
          <w:color w:val="28251D"/>
          <w:sz w:val="20"/>
        </w:rPr>
        <w:t>5. Refresh insurance cover certificates on any shipment exceeding 12 months of storage — confirm continuous all-risk coverage is in force.</w:t>
      </w:r>
    </w:p>
    <w:p>
      <w:r>
        <w:rPr>
          <w:rFonts w:ascii="Calibri" w:hAnsi="Calibri"/>
          <w:b w:val="0"/>
          <w:color w:val="28251D"/>
          <w:sz w:val="20"/>
        </w:rPr>
        <w:t>6. Prepare consolidated re-export documentation (commercial invoice, packing list, customs declaration) for each depot shipment in anticipation of instructions.</w:t>
      </w:r>
    </w:p>
    <w:p/>
    <w:p>
      <w:r>
        <w:rPr>
          <w:rFonts w:ascii="Calibri" w:hAnsi="Calibri"/>
          <w:b w:val="0"/>
          <w:color w:val="7A7974"/>
          <w:sz w:val="16"/>
        </w:rPr>
        <w:t>Report generated 17 May 2026 12:19 CET · Confidential — for internal use by DHL Global Forwarding Singapore and the contracting parties.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