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SENG2130 Systems Analysis and Design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Group___Thurs 5-7 group 4</w:t>
        <w:tab/>
        <w:tab/>
        <w:t xml:space="preserve">Place:Lab in Engineering block Date/Time_5pm 19/04/2018_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0</wp:posOffset>
                </wp:positionV>
                <wp:extent cx="571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837150"/>
                          <a:ext cx="5486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7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0</wp:posOffset>
                </wp:positionV>
                <wp:extent cx="5715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attendance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Toby Walmsley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Matthew Smith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Samuel Dolbel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Danielle McLean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Lachlan Carroll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Finish of Use Case Descriptions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Make sure everyone is on track with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sheet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1674"/>
        <w:gridCol w:w="1080"/>
        <w:gridCol w:w="3888"/>
        <w:tblGridChange w:id="0">
          <w:tblGrid>
            <w:gridCol w:w="2214"/>
            <w:gridCol w:w="1674"/>
            <w:gridCol w:w="1080"/>
            <w:gridCol w:w="3888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system use case diagram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Toby and Matt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25/4/18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Activity Diagrams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25/4/18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Class diagram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Lachlan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25/4/18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