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DBA48" w14:textId="77777777" w:rsidR="00CC3B4D" w:rsidRDefault="0092665C">
      <w:pPr>
        <w:rPr>
          <w:b/>
        </w:rPr>
      </w:pPr>
      <w:r>
        <w:rPr>
          <w:b/>
        </w:rPr>
        <w:t>Surging COVID-19 in Bangladesh driven by B.1.351 variant</w:t>
      </w:r>
    </w:p>
    <w:p w14:paraId="2EC0134E" w14:textId="77777777" w:rsidR="00CC3B4D" w:rsidRDefault="00CC3B4D">
      <w:pPr>
        <w:spacing w:line="240" w:lineRule="auto"/>
      </w:pPr>
    </w:p>
    <w:p w14:paraId="19B16530" w14:textId="77777777" w:rsidR="00CC3B4D" w:rsidRDefault="0092665C">
      <w:r>
        <w:t>Eric Brum – FAO in support of the UN Interagency Support Team, Bangladesh</w:t>
      </w:r>
    </w:p>
    <w:p w14:paraId="4583B1B6" w14:textId="77777777" w:rsidR="00CC3B4D" w:rsidRDefault="0092665C">
      <w:proofErr w:type="spellStart"/>
      <w:r>
        <w:t>Senjuti</w:t>
      </w:r>
      <w:proofErr w:type="spellEnd"/>
      <w:r>
        <w:t xml:space="preserve"> </w:t>
      </w:r>
      <w:proofErr w:type="spellStart"/>
      <w:r>
        <w:t>Saha</w:t>
      </w:r>
      <w:proofErr w:type="spellEnd"/>
      <w:r>
        <w:t xml:space="preserve"> – Child Health Research Foundation, Bangladesh</w:t>
      </w:r>
    </w:p>
    <w:p w14:paraId="684573B3" w14:textId="77777777" w:rsidR="00CC3B4D" w:rsidRDefault="0092665C">
      <w:r>
        <w:t>Ayesha Sania - Columbia University, USA</w:t>
      </w:r>
    </w:p>
    <w:p w14:paraId="4B747909" w14:textId="77777777" w:rsidR="00CC3B4D" w:rsidRDefault="0092665C">
      <w:proofErr w:type="spellStart"/>
      <w:r>
        <w:t>Arif</w:t>
      </w:r>
      <w:proofErr w:type="spellEnd"/>
      <w:r>
        <w:t xml:space="preserve"> Md. Tanmoy – Child Health Research Foundation, Bangladesh</w:t>
      </w:r>
    </w:p>
    <w:p w14:paraId="4E543465" w14:textId="77777777" w:rsidR="00CC3B4D" w:rsidRDefault="0092665C">
      <w:r>
        <w:t xml:space="preserve">Yogesh </w:t>
      </w:r>
      <w:proofErr w:type="spellStart"/>
      <w:r>
        <w:t>Hooda</w:t>
      </w:r>
      <w:proofErr w:type="spellEnd"/>
      <w:r>
        <w:t xml:space="preserve"> – Child Health Research Foundation, Bangladesh</w:t>
      </w:r>
    </w:p>
    <w:p w14:paraId="0F6AF6A3" w14:textId="77777777" w:rsidR="00CC3B4D" w:rsidRDefault="0092665C">
      <w:proofErr w:type="spellStart"/>
      <w:r>
        <w:t>Afroza</w:t>
      </w:r>
      <w:proofErr w:type="spellEnd"/>
      <w:r>
        <w:t xml:space="preserve"> </w:t>
      </w:r>
      <w:proofErr w:type="spellStart"/>
      <w:r>
        <w:t>Tanni</w:t>
      </w:r>
      <w:proofErr w:type="spellEnd"/>
      <w:r>
        <w:t xml:space="preserve"> – Child Health Research Foundation, Bangladesh</w:t>
      </w:r>
    </w:p>
    <w:p w14:paraId="15848CEE" w14:textId="77777777" w:rsidR="00CC3B4D" w:rsidRDefault="0092665C">
      <w:proofErr w:type="spellStart"/>
      <w:r>
        <w:t>Sharmistha</w:t>
      </w:r>
      <w:proofErr w:type="spellEnd"/>
      <w:r>
        <w:t xml:space="preserve"> Goswami – Child Health</w:t>
      </w:r>
      <w:r>
        <w:t xml:space="preserve"> Research Foundation, Bangladesh</w:t>
      </w:r>
    </w:p>
    <w:p w14:paraId="191F4567" w14:textId="77777777" w:rsidR="00CC3B4D" w:rsidRDefault="0092665C">
      <w:r>
        <w:t xml:space="preserve">Syed </w:t>
      </w:r>
      <w:proofErr w:type="spellStart"/>
      <w:r>
        <w:t>Muktadir</w:t>
      </w:r>
      <w:proofErr w:type="spellEnd"/>
      <w:r>
        <w:t xml:space="preserve"> Al Sium – Child Health Research Foundation, Bangladesh</w:t>
      </w:r>
    </w:p>
    <w:p w14:paraId="5FB64A12" w14:textId="77777777" w:rsidR="00CC3B4D" w:rsidRDefault="0092665C">
      <w:r>
        <w:t xml:space="preserve">Md. Saiful Islam </w:t>
      </w:r>
      <w:proofErr w:type="spellStart"/>
      <w:r>
        <w:t>Sajib</w:t>
      </w:r>
      <w:proofErr w:type="spellEnd"/>
      <w:r>
        <w:t xml:space="preserve"> – Child Health Research Foundation, Bangladesh</w:t>
      </w:r>
    </w:p>
    <w:p w14:paraId="6F448395" w14:textId="77777777" w:rsidR="00CC3B4D" w:rsidRDefault="0092665C">
      <w:proofErr w:type="spellStart"/>
      <w:r>
        <w:t>Roly</w:t>
      </w:r>
      <w:proofErr w:type="spellEnd"/>
      <w:r>
        <w:t xml:space="preserve"> </w:t>
      </w:r>
      <w:proofErr w:type="spellStart"/>
      <w:r>
        <w:t>Malaker</w:t>
      </w:r>
      <w:proofErr w:type="spellEnd"/>
      <w:r>
        <w:t xml:space="preserve"> – Child Health Research Foundation, Bangladesh</w:t>
      </w:r>
    </w:p>
    <w:p w14:paraId="3278CC50" w14:textId="77777777" w:rsidR="00CC3B4D" w:rsidRDefault="0092665C">
      <w:proofErr w:type="spellStart"/>
      <w:r>
        <w:t>Shuborno</w:t>
      </w:r>
      <w:proofErr w:type="spellEnd"/>
      <w:r>
        <w:t xml:space="preserve"> Islam – Child H</w:t>
      </w:r>
      <w:r>
        <w:t>ealth Research Foundation, Bangladesh</w:t>
      </w:r>
    </w:p>
    <w:p w14:paraId="5F42E32A" w14:textId="77777777" w:rsidR="00CC3B4D" w:rsidRDefault="0092665C">
      <w:proofErr w:type="spellStart"/>
      <w:r>
        <w:t>Nikkon</w:t>
      </w:r>
      <w:proofErr w:type="spellEnd"/>
      <w:r>
        <w:t xml:space="preserve"> Sarkar – Child Health Research Foundation, Bangladesh</w:t>
      </w:r>
    </w:p>
    <w:p w14:paraId="2411B4C0" w14:textId="77777777" w:rsidR="00CC3B4D" w:rsidRDefault="0092665C">
      <w:r>
        <w:t xml:space="preserve">Samir K </w:t>
      </w:r>
      <w:proofErr w:type="spellStart"/>
      <w:r>
        <w:t>Saha</w:t>
      </w:r>
      <w:proofErr w:type="spellEnd"/>
      <w:r>
        <w:t xml:space="preserve"> – Child Health Research Foundation, Bangladesh</w:t>
      </w:r>
    </w:p>
    <w:p w14:paraId="564FF234" w14:textId="77777777" w:rsidR="00CC3B4D" w:rsidRDefault="0092665C">
      <w:proofErr w:type="spellStart"/>
      <w:r>
        <w:t>Shayan</w:t>
      </w:r>
      <w:proofErr w:type="spellEnd"/>
      <w:r>
        <w:t xml:space="preserve"> Chowdhury – a2i, Bangladesh</w:t>
      </w:r>
    </w:p>
    <w:p w14:paraId="540BA788" w14:textId="77777777" w:rsidR="00CC3B4D" w:rsidRDefault="0092665C">
      <w:proofErr w:type="spellStart"/>
      <w:r>
        <w:t>Yacob</w:t>
      </w:r>
      <w:proofErr w:type="spellEnd"/>
      <w:r>
        <w:t xml:space="preserve"> </w:t>
      </w:r>
      <w:proofErr w:type="spellStart"/>
      <w:r>
        <w:t>Haddou</w:t>
      </w:r>
      <w:proofErr w:type="spellEnd"/>
      <w:r>
        <w:t xml:space="preserve"> -- University of Glasgow, UK</w:t>
      </w:r>
    </w:p>
    <w:p w14:paraId="5E26E2CC" w14:textId="77777777" w:rsidR="00CC3B4D" w:rsidRDefault="0092665C">
      <w:r>
        <w:t>Elaine Ferguson -- U</w:t>
      </w:r>
      <w:r>
        <w:t>niversity of Glasgow, UK</w:t>
      </w:r>
    </w:p>
    <w:p w14:paraId="14D79683" w14:textId="77777777" w:rsidR="00CC3B4D" w:rsidRDefault="0092665C">
      <w:proofErr w:type="spellStart"/>
      <w:r>
        <w:t>Mikolaj</w:t>
      </w:r>
      <w:proofErr w:type="spellEnd"/>
      <w:r>
        <w:t xml:space="preserve"> </w:t>
      </w:r>
      <w:proofErr w:type="spellStart"/>
      <w:r>
        <w:t>Kundegorski</w:t>
      </w:r>
      <w:proofErr w:type="spellEnd"/>
      <w:r>
        <w:t xml:space="preserve"> -- University of Glasgow, UK</w:t>
      </w:r>
    </w:p>
    <w:p w14:paraId="2DB5D05F" w14:textId="77777777" w:rsidR="00CC3B4D" w:rsidRDefault="0092665C">
      <w:r>
        <w:t xml:space="preserve">Nabila </w:t>
      </w:r>
      <w:proofErr w:type="spellStart"/>
      <w:r>
        <w:t>Purno</w:t>
      </w:r>
      <w:proofErr w:type="spellEnd"/>
      <w:r>
        <w:t xml:space="preserve"> -- UNFPA in support of the UN Interagency Support Team, Bangladesh</w:t>
      </w:r>
    </w:p>
    <w:p w14:paraId="33078981" w14:textId="77777777" w:rsidR="00CC3B4D" w:rsidRDefault="0092665C">
      <w:proofErr w:type="spellStart"/>
      <w:r>
        <w:t>Motahara</w:t>
      </w:r>
      <w:proofErr w:type="spellEnd"/>
      <w:r>
        <w:t xml:space="preserve"> Tasneem -- FAO, Bangladesh</w:t>
      </w:r>
    </w:p>
    <w:p w14:paraId="4332EE28" w14:textId="77777777" w:rsidR="00CC3B4D" w:rsidRDefault="0092665C">
      <w:r>
        <w:t xml:space="preserve">Shams El </w:t>
      </w:r>
      <w:proofErr w:type="spellStart"/>
      <w:r>
        <w:t>Arifeen</w:t>
      </w:r>
      <w:proofErr w:type="spellEnd"/>
      <w:r>
        <w:t xml:space="preserve"> -- </w:t>
      </w:r>
      <w:proofErr w:type="spellStart"/>
      <w:r>
        <w:t>Icddr’b</w:t>
      </w:r>
      <w:proofErr w:type="spellEnd"/>
      <w:r>
        <w:t>, Bangladesh</w:t>
      </w:r>
    </w:p>
    <w:p w14:paraId="13E75BA3" w14:textId="77777777" w:rsidR="00CC3B4D" w:rsidRDefault="0092665C">
      <w:r>
        <w:t>AMS Alamgir, IEDCR -- Bang</w:t>
      </w:r>
      <w:r>
        <w:t>ladesh</w:t>
      </w:r>
    </w:p>
    <w:p w14:paraId="2DB32D4B" w14:textId="77777777" w:rsidR="00CC3B4D" w:rsidRDefault="0092665C">
      <w:proofErr w:type="spellStart"/>
      <w:r>
        <w:t>Anir</w:t>
      </w:r>
      <w:proofErr w:type="spellEnd"/>
      <w:r>
        <w:t xml:space="preserve"> Chowdhury – a2i, Bangladesh</w:t>
      </w:r>
    </w:p>
    <w:p w14:paraId="4DDD6F1C" w14:textId="77777777" w:rsidR="00CC3B4D" w:rsidRDefault="0092665C">
      <w:r>
        <w:t>Katie Hampson – University of Glasgow, UK</w:t>
      </w:r>
    </w:p>
    <w:p w14:paraId="42FC6F58" w14:textId="77777777" w:rsidR="00CC3B4D" w:rsidRDefault="00CC3B4D">
      <w:pPr>
        <w:spacing w:line="240" w:lineRule="auto"/>
      </w:pPr>
    </w:p>
    <w:p w14:paraId="69486B91" w14:textId="77777777" w:rsidR="00CC3B4D" w:rsidRDefault="00CC3B4D"/>
    <w:p w14:paraId="1A538966" w14:textId="77777777" w:rsidR="00CC3B4D" w:rsidRDefault="0092665C">
      <w:pPr>
        <w:rPr>
          <w:b/>
        </w:rPr>
      </w:pPr>
      <w:r>
        <w:rPr>
          <w:b/>
        </w:rPr>
        <w:t>Abstract</w:t>
      </w:r>
    </w:p>
    <w:p w14:paraId="11CABADD" w14:textId="77777777" w:rsidR="00CC3B4D" w:rsidRDefault="0092665C">
      <w:r>
        <w:t>A dramatic resurgence of COVID-19 cases and deaths in Bangladesh in March 2021 occurred together with a sharp rise in frequency of the SARS-CoV-2 B.1.351 (501Y.V2) variant of concern. Concurrent increases in detected COVID-19 reinfections and the effective</w:t>
      </w:r>
      <w:r>
        <w:t xml:space="preserve"> Reproductive number, </w:t>
      </w:r>
      <w:r>
        <w:rPr>
          <w:i/>
        </w:rPr>
        <w:t>R</w:t>
      </w:r>
      <w:r>
        <w:rPr>
          <w:i/>
          <w:vertAlign w:val="subscript"/>
        </w:rPr>
        <w:t>t</w:t>
      </w:r>
      <w:r>
        <w:t>, despite reported high levels of prior infection in Dhaka city, suggest that resurgence was driven by the B.1.351 variant. These data support the prediction that protection from past infection is lower for re-infection with the B.1</w:t>
      </w:r>
      <w:r>
        <w:t xml:space="preserve">.351 </w:t>
      </w:r>
      <w:proofErr w:type="gramStart"/>
      <w:r>
        <w:t>variant, and</w:t>
      </w:r>
      <w:proofErr w:type="gramEnd"/>
      <w:r>
        <w:t xml:space="preserve"> highlight the major public health concern posed by immune escape variants, especially in populations where vaccination coverage remains very low. </w:t>
      </w:r>
    </w:p>
    <w:p w14:paraId="296F7B97" w14:textId="77777777" w:rsidR="00CC3B4D" w:rsidRDefault="00CC3B4D"/>
    <w:p w14:paraId="34E51863" w14:textId="77777777" w:rsidR="00CC3B4D" w:rsidRDefault="0092665C">
      <w:pPr>
        <w:rPr>
          <w:b/>
        </w:rPr>
      </w:pPr>
      <w:r>
        <w:br w:type="page"/>
      </w:r>
    </w:p>
    <w:p w14:paraId="53E56136" w14:textId="77777777" w:rsidR="00CC3B4D" w:rsidRDefault="0092665C">
      <w:pPr>
        <w:rPr>
          <w:b/>
        </w:rPr>
      </w:pPr>
      <w:r>
        <w:rPr>
          <w:b/>
        </w:rPr>
        <w:lastRenderedPageBreak/>
        <w:t>Main</w:t>
      </w:r>
    </w:p>
    <w:p w14:paraId="21CF26E4" w14:textId="77777777" w:rsidR="00CC3B4D" w:rsidRDefault="0092665C">
      <w:r>
        <w:t>In recent weeks Bangladesh has experienced a rapid and unprecedented increase in re</w:t>
      </w:r>
      <w:r>
        <w:t>ported COVID-19 cases and deaths (Figure 1). Most cases in March 2021 were reported from Dhaka and Chattogram (70% and 10% of 65,000 total),</w:t>
      </w:r>
      <w:r>
        <w:rPr>
          <w:vertAlign w:val="superscript"/>
        </w:rPr>
        <w:t xml:space="preserve"> </w:t>
      </w:r>
      <w:r>
        <w:t>where &gt;13% of the population resides, but 56/64 districts are now showing exponential growth.</w:t>
      </w:r>
      <w:hyperlink r:id="rId6">
        <w:r>
          <w:rPr>
            <w:vertAlign w:val="superscript"/>
          </w:rPr>
          <w:t>1</w:t>
        </w:r>
      </w:hyperlink>
      <w:r>
        <w:t xml:space="preserve"> On the current trajectory, COVID-19 deaths in April 2021 will far exceed the 2020 peak.</w:t>
      </w:r>
    </w:p>
    <w:p w14:paraId="2313BD3D" w14:textId="77777777" w:rsidR="00CC3B4D" w:rsidRDefault="00CC3B4D"/>
    <w:p w14:paraId="474FA0C8" w14:textId="7FE329CC" w:rsidR="00CC3B4D" w:rsidRDefault="0092665C">
      <w:r>
        <w:t>Sequenced viruses from Bangladesh in 2021 have been dominated by variants of concern that are associated with higher transmis</w:t>
      </w:r>
      <w:r>
        <w:t>sibility and disease severity and potential for immune evasion.</w:t>
      </w:r>
      <w:hyperlink r:id="rId7">
        <w:r>
          <w:rPr>
            <w:vertAlign w:val="superscript"/>
          </w:rPr>
          <w:t>2</w:t>
        </w:r>
      </w:hyperlink>
      <w:r>
        <w:t xml:space="preserve"> The variant B.1.1.7 (20I/501Y.V1) that emerged in the UK was first detected in Bangladesh on 31 December 2020. The variant B.1.35</w:t>
      </w:r>
      <w:r>
        <w:t>1 (20H/501Y.V2) that emerged in South Africa was first detected in Dhaka on 24 January 2021, followed by two more cases of B.1.351 collected from distant geographic locations in Bangladesh in late February.</w:t>
      </w:r>
      <w:hyperlink r:id="rId8">
        <w:r>
          <w:rPr>
            <w:vertAlign w:val="superscript"/>
          </w:rPr>
          <w:t>3</w:t>
        </w:r>
      </w:hyperlink>
      <w:r>
        <w:t xml:space="preserve"> By the end of March the frequency of B.1.351 reached 73% (95%CI: 52-87%, 16/22 sequences)</w:t>
      </w:r>
      <w:hyperlink r:id="rId9">
        <w:r>
          <w:rPr>
            <w:vertAlign w:val="superscript"/>
          </w:rPr>
          <w:t>4</w:t>
        </w:r>
      </w:hyperlink>
      <w:r>
        <w:t xml:space="preserve"> </w:t>
      </w:r>
      <w:r>
        <w:t>contemporaneous with the increased cases and deaths.</w:t>
      </w:r>
    </w:p>
    <w:p w14:paraId="48C765A1" w14:textId="2492A855" w:rsidR="00743C8D" w:rsidRDefault="00743C8D"/>
    <w:p w14:paraId="12258A34" w14:textId="77777777" w:rsidR="00743C8D" w:rsidRDefault="00743C8D" w:rsidP="00743C8D">
      <w:pPr>
        <w:rPr>
          <w:b/>
        </w:rPr>
      </w:pPr>
      <w:r>
        <w:rPr>
          <w:b/>
          <w:noProof/>
        </w:rPr>
        <w:drawing>
          <wp:inline distT="114300" distB="114300" distL="114300" distR="114300" wp14:anchorId="6A5F5384" wp14:editId="6613CD83">
            <wp:extent cx="5731200" cy="3276600"/>
            <wp:effectExtent l="0" t="0" r="0" b="0"/>
            <wp:docPr id="2" name="image1.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Chart, histogram&#10;&#10;Description automatically generated"/>
                    <pic:cNvPicPr preferRelativeResize="0"/>
                  </pic:nvPicPr>
                  <pic:blipFill>
                    <a:blip r:embed="rId10"/>
                    <a:srcRect/>
                    <a:stretch>
                      <a:fillRect/>
                    </a:stretch>
                  </pic:blipFill>
                  <pic:spPr>
                    <a:xfrm>
                      <a:off x="0" y="0"/>
                      <a:ext cx="5731200" cy="3276600"/>
                    </a:xfrm>
                    <a:prstGeom prst="rect">
                      <a:avLst/>
                    </a:prstGeom>
                    <a:ln/>
                  </pic:spPr>
                </pic:pic>
              </a:graphicData>
            </a:graphic>
          </wp:inline>
        </w:drawing>
      </w:r>
    </w:p>
    <w:p w14:paraId="4533AC21" w14:textId="77777777" w:rsidR="00743C8D" w:rsidRDefault="00743C8D" w:rsidP="00743C8D">
      <w:pPr>
        <w:rPr>
          <w:sz w:val="20"/>
          <w:szCs w:val="20"/>
        </w:rPr>
      </w:pPr>
      <w:r>
        <w:rPr>
          <w:b/>
          <w:sz w:val="20"/>
          <w:szCs w:val="20"/>
        </w:rPr>
        <w:t xml:space="preserve">Figure 1. Time series of recorded cases, deaths, and identified reinfections in Bangladesh and first detection of variants of concern. </w:t>
      </w:r>
      <w:r>
        <w:rPr>
          <w:sz w:val="20"/>
          <w:szCs w:val="20"/>
        </w:rPr>
        <w:t>Case numbers are presented on the left y-axis and deaths and identified reinfections (black dots) on the right.</w:t>
      </w:r>
      <w:r>
        <w:rPr>
          <w:b/>
          <w:sz w:val="20"/>
          <w:szCs w:val="20"/>
        </w:rPr>
        <w:t xml:space="preserve"> </w:t>
      </w:r>
      <w:r>
        <w:rPr>
          <w:sz w:val="20"/>
          <w:szCs w:val="20"/>
        </w:rPr>
        <w:t xml:space="preserve">Both cases and deaths are </w:t>
      </w:r>
      <w:proofErr w:type="spellStart"/>
      <w:r>
        <w:rPr>
          <w:sz w:val="20"/>
          <w:szCs w:val="20"/>
        </w:rPr>
        <w:t>summarised</w:t>
      </w:r>
      <w:proofErr w:type="spellEnd"/>
      <w:r>
        <w:rPr>
          <w:sz w:val="20"/>
          <w:szCs w:val="20"/>
        </w:rPr>
        <w:t xml:space="preserve"> as a 7-day rolling mean, with daily raw values shown with reduced transparency. Key points annotated include the first detection of SARS-CoV-2, the two periods of lockdown and first detection of variants of concern B.1.1.7 and B.1.351.</w:t>
      </w:r>
      <w:r>
        <w:t xml:space="preserve"> </w:t>
      </w:r>
      <w:r>
        <w:rPr>
          <w:sz w:val="20"/>
          <w:szCs w:val="20"/>
        </w:rPr>
        <w:t>Data from John Hopkins University (coronavirus.jhu.edu/map.html), nextstrain</w:t>
      </w:r>
      <w:hyperlink r:id="rId11">
        <w:r>
          <w:rPr>
            <w:vertAlign w:val="superscript"/>
          </w:rPr>
          <w:t>4</w:t>
        </w:r>
      </w:hyperlink>
      <w:r>
        <w:rPr>
          <w:sz w:val="20"/>
          <w:szCs w:val="20"/>
        </w:rPr>
        <w:t>, the MIS, DGS Covid-19 dashboard</w:t>
      </w:r>
      <w:hyperlink r:id="rId12">
        <w:r>
          <w:rPr>
            <w:vertAlign w:val="superscript"/>
          </w:rPr>
          <w:t>1</w:t>
        </w:r>
      </w:hyperlink>
      <w:r>
        <w:rPr>
          <w:sz w:val="20"/>
          <w:szCs w:val="20"/>
        </w:rPr>
        <w:t xml:space="preserve"> and the a2i data warehouse.</w:t>
      </w:r>
    </w:p>
    <w:p w14:paraId="29508C5D" w14:textId="77777777" w:rsidR="00743C8D" w:rsidRDefault="00743C8D"/>
    <w:p w14:paraId="54D7E768" w14:textId="77777777" w:rsidR="00CC3B4D" w:rsidRDefault="0092665C">
      <w:pPr>
        <w:spacing w:before="240" w:after="240"/>
      </w:pPr>
      <w:r>
        <w:t>The B.1.351 variant is notable for multiple substitutions in the receptor-binding area of the spike protein.</w:t>
      </w:r>
      <w:hyperlink r:id="rId13">
        <w:r>
          <w:rPr>
            <w:vertAlign w:val="superscript"/>
          </w:rPr>
          <w:t>5</w:t>
        </w:r>
      </w:hyperlink>
      <w:r>
        <w:t xml:space="preserve"> B.1.351 is considered an escape</w:t>
      </w:r>
      <w:r>
        <w:t xml:space="preserve"> variant from neutralizing antibody immunity developed through natural infection</w:t>
      </w:r>
      <w:r>
        <w:t>.</w:t>
      </w:r>
      <w:hyperlink r:id="rId14">
        <w:r>
          <w:rPr>
            <w:vertAlign w:val="superscript"/>
          </w:rPr>
          <w:t>6</w:t>
        </w:r>
      </w:hyperlink>
      <w:r>
        <w:t xml:space="preserve"> The B.1.351 variant is reportedly less sensitive or even insensitive to sera from convalescent individual</w:t>
      </w:r>
      <w:r>
        <w:t>s and recent vaccine recipients.</w:t>
      </w:r>
      <w:hyperlink r:id="rId15">
        <w:r>
          <w:rPr>
            <w:vertAlign w:val="superscript"/>
          </w:rPr>
          <w:t>7–9</w:t>
        </w:r>
      </w:hyperlink>
      <w:r>
        <w:t xml:space="preserve"> These laboratory studies suggest that the B.1.351 variant will cause reinfections in individuals who </w:t>
      </w:r>
      <w:r>
        <w:lastRenderedPageBreak/>
        <w:t>have recovered from infections with previously circulatin</w:t>
      </w:r>
      <w:r>
        <w:t>g lineages. Critically, these findings may explain the escalating numbers of reinfections identified in Bangladesh (Figure 1) and their correspondence to the rise of B.1.351 detection, warranting genomic follow-up to ascertain the variants responsible, the</w:t>
      </w:r>
      <w:r>
        <w:t xml:space="preserve">ir distribution and prevalence. </w:t>
      </w:r>
    </w:p>
    <w:p w14:paraId="79D556F2" w14:textId="77777777" w:rsidR="00CC3B4D" w:rsidRDefault="0092665C">
      <w:pPr>
        <w:spacing w:before="240" w:after="240"/>
      </w:pPr>
      <w:r>
        <w:t xml:space="preserve">The Astra-Zeneca vaccine appears efficacious in protecting against severe infection from the B.1.351 </w:t>
      </w:r>
      <w:proofErr w:type="gramStart"/>
      <w:r>
        <w:t>variant, but</w:t>
      </w:r>
      <w:proofErr w:type="gramEnd"/>
      <w:r>
        <w:t xml:space="preserve"> does not confer protection against mild and moderate infection</w:t>
      </w:r>
      <w:r>
        <w:t>.</w:t>
      </w:r>
      <w:hyperlink r:id="rId16">
        <w:r>
          <w:rPr>
            <w:vertAlign w:val="superscript"/>
          </w:rPr>
          <w:t>10</w:t>
        </w:r>
      </w:hyperlink>
      <w:r>
        <w:t xml:space="preserve"> Limited data are currently available on clinical characteristics of this variant. Several reports raise concerns about the degree to which vaccines may block transmission of B.1.351.</w:t>
      </w:r>
      <w:hyperlink r:id="rId17">
        <w:r>
          <w:rPr>
            <w:vertAlign w:val="superscript"/>
          </w:rPr>
          <w:t>6,8</w:t>
        </w:r>
      </w:hyperlink>
      <w:r>
        <w:t xml:space="preserve"> Six million Astra-Zeneca vaccine doses have been administered in Bangladesh since early February,</w:t>
      </w:r>
      <w:hyperlink r:id="rId18">
        <w:r>
          <w:rPr>
            <w:vertAlign w:val="superscript"/>
          </w:rPr>
          <w:t>11</w:t>
        </w:r>
      </w:hyperlink>
      <w:r>
        <w:t xml:space="preserve"> almost all as first doses, covering just 3.5% of the population. Irrespective</w:t>
      </w:r>
      <w:r>
        <w:t xml:space="preserve"> of vaccine impacts on transmission, these vaccinations, at current coverage levels, are expected to have only minimal impact on reducing severe disease and deaths during the current wave. </w:t>
      </w:r>
    </w:p>
    <w:p w14:paraId="08757DC6" w14:textId="77777777" w:rsidR="00CC3B4D" w:rsidRDefault="0092665C">
      <w:pPr>
        <w:spacing w:before="240" w:after="240"/>
      </w:pPr>
      <w:r>
        <w:t>A critical question is what properties of B.1.351, if any, underli</w:t>
      </w:r>
      <w:r>
        <w:t>e Bangladesh’s resurgence. Several lines of evidence suggest that a large proportion of the Dhaka population were infected by COVID-19 in 2020. Bangladesh’s 513,510 recorded cases in 2020 underestimates total cases, as testing was initially restricted to t</w:t>
      </w:r>
      <w:r>
        <w:t>he national laboratory, and like most countries, focused on symptomatic testing. Additionally, surveys in Dhaka city from April-June 2020 (prior to the peak) found point prevalence of almost 10% and seroprevalence of 45%, reaching 74% in slums.</w:t>
      </w:r>
      <w:hyperlink r:id="rId19">
        <w:r>
          <w:rPr>
            <w:vertAlign w:val="superscript"/>
          </w:rPr>
          <w:t>12</w:t>
        </w:r>
      </w:hyperlink>
      <w:r>
        <w:t xml:space="preserve"> For reasons that remain unclear, case fatality rates in 2020 were fortuitously low, but healthcare capacity was still stretched at the peak. The age patterns of deaths and hospitalizations in 2021 need c</w:t>
      </w:r>
      <w:r>
        <w:t xml:space="preserve">omparing to 2020 to assess whether B.1.351 causes more or less severe disease, particularly in lower age groups.  </w:t>
      </w:r>
    </w:p>
    <w:p w14:paraId="1E66D226" w14:textId="00642260" w:rsidR="00CC3B4D" w:rsidRDefault="0092665C">
      <w:pPr>
        <w:spacing w:before="240" w:after="240"/>
      </w:pPr>
      <w:r>
        <w:t xml:space="preserve">A combination of non-pharmaceutical interventions (NPIs) and </w:t>
      </w:r>
      <w:proofErr w:type="gramStart"/>
      <w:r>
        <w:t>naturally-acquired</w:t>
      </w:r>
      <w:proofErr w:type="gramEnd"/>
      <w:r>
        <w:t xml:space="preserve"> immunity likely contributed to prior declines in cases </w:t>
      </w:r>
      <w:r>
        <w:t>(Figure 1). The basic reproduction number (R</w:t>
      </w:r>
      <w:r>
        <w:rPr>
          <w:vertAlign w:val="subscript"/>
        </w:rPr>
        <w:t>0</w:t>
      </w:r>
      <w:r>
        <w:t>) for SARS-CoV-2 in Bangladesh was estimated at 3.4 prior to lockdown measures which were initiated 18 days after the country’s first confirmed case.</w:t>
      </w:r>
      <w:hyperlink r:id="rId20">
        <w:r>
          <w:rPr>
            <w:vertAlign w:val="superscript"/>
          </w:rPr>
          <w:t>13</w:t>
        </w:r>
      </w:hyperlink>
      <w:r>
        <w:t xml:space="preserve"> In that period masks were mandated</w:t>
      </w:r>
      <w:hyperlink r:id="rId21">
        <w:r>
          <w:rPr>
            <w:vertAlign w:val="superscript"/>
          </w:rPr>
          <w:t>14</w:t>
        </w:r>
      </w:hyperlink>
      <w:r>
        <w:t xml:space="preserve"> and community-level NPIs began. By early 2021 overall test positivity reached a low of &lt;4% (27 January 2021, Figure </w:t>
      </w:r>
      <w:r w:rsidR="00743C8D">
        <w:t>2</w:t>
      </w:r>
      <w:r>
        <w:t>C).</w:t>
      </w:r>
      <w:hyperlink r:id="rId22">
        <w:r>
          <w:rPr>
            <w:vertAlign w:val="superscript"/>
          </w:rPr>
          <w:t>1</w:t>
        </w:r>
      </w:hyperlink>
      <w:r>
        <w:t xml:space="preserve"> However, by late January 2021 mobility levels within the general population were higher than pre-pandemic levels</w:t>
      </w:r>
      <w:hyperlink r:id="rId23">
        <w:r>
          <w:rPr>
            <w:vertAlign w:val="superscript"/>
          </w:rPr>
          <w:t>15</w:t>
        </w:r>
      </w:hyperlink>
      <w:r>
        <w:t xml:space="preserve"> and a decrease in mask-wearing was observed coinc</w:t>
      </w:r>
      <w:r>
        <w:t xml:space="preserve">iding with vaccination announcements. </w:t>
      </w:r>
    </w:p>
    <w:p w14:paraId="6998BEA3" w14:textId="77777777" w:rsidR="00CC3B4D" w:rsidRDefault="0092665C">
      <w:pPr>
        <w:spacing w:before="240" w:after="240"/>
      </w:pPr>
      <w:r>
        <w:t>The reproduction number (R</w:t>
      </w:r>
      <w:r>
        <w:rPr>
          <w:vertAlign w:val="subscript"/>
        </w:rPr>
        <w:t>t</w:t>
      </w:r>
      <w:r>
        <w:t xml:space="preserve">) in Bangladesh remained near 1 throughout 2020 but rose to almost 2 in March. Although relaxation of NPIs may have facilitated this growth, the introduction and rapid growth of B.1.351 raises the worrying possibility that immune escape has played a role. </w:t>
      </w:r>
      <w:r>
        <w:t xml:space="preserve">Resurgence of previously dominant variants is not evident, presumably limited by herd immunity of around 65-75%. In contrast, we found more support for lower protection against B.1.351 (~25%), more in line with laboratory studies. From calibrating an SEIR </w:t>
      </w:r>
      <w:r>
        <w:t>model to 2021 COVID-19 death data we estimated R</w:t>
      </w:r>
      <w:r>
        <w:rPr>
          <w:vertAlign w:val="subscript"/>
        </w:rPr>
        <w:t>0</w:t>
      </w:r>
      <w:r>
        <w:t xml:space="preserve"> of 3.5 for B.1.351</w:t>
      </w:r>
      <w:hyperlink r:id="rId24">
        <w:r>
          <w:rPr>
            <w:vertAlign w:val="superscript"/>
          </w:rPr>
          <w:t>13</w:t>
        </w:r>
      </w:hyperlink>
      <w:r>
        <w:t>, explaining the increased R</w:t>
      </w:r>
      <w:r>
        <w:rPr>
          <w:vertAlign w:val="subscript"/>
        </w:rPr>
        <w:t>t</w:t>
      </w:r>
      <w:r>
        <w:t>. However, the precision and range of our R</w:t>
      </w:r>
      <w:r>
        <w:rPr>
          <w:vertAlign w:val="subscript"/>
        </w:rPr>
        <w:t>0</w:t>
      </w:r>
      <w:r>
        <w:t xml:space="preserve"> estimate for B.1.351 (2.3 to 6.5) is subject to un</w:t>
      </w:r>
      <w:r>
        <w:t>certainties in the extent of prior infection and degree of protection conferred</w:t>
      </w:r>
      <w:r>
        <w:t xml:space="preserve">. </w:t>
      </w:r>
    </w:p>
    <w:p w14:paraId="6AB14438" w14:textId="77777777" w:rsidR="00743C8D" w:rsidRDefault="00743C8D" w:rsidP="00743C8D">
      <w:r>
        <w:rPr>
          <w:noProof/>
        </w:rPr>
        <w:lastRenderedPageBreak/>
        <w:drawing>
          <wp:inline distT="114300" distB="114300" distL="114300" distR="114300" wp14:anchorId="7CB1C097" wp14:editId="4A366C86">
            <wp:extent cx="2512122" cy="3879608"/>
            <wp:effectExtent l="0" t="0" r="0" b="0"/>
            <wp:docPr id="1" name="image2.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A picture containing diagram&#10;&#10;Description automatically generated"/>
                    <pic:cNvPicPr preferRelativeResize="0"/>
                  </pic:nvPicPr>
                  <pic:blipFill>
                    <a:blip r:embed="rId25"/>
                    <a:srcRect/>
                    <a:stretch>
                      <a:fillRect/>
                    </a:stretch>
                  </pic:blipFill>
                  <pic:spPr>
                    <a:xfrm>
                      <a:off x="0" y="0"/>
                      <a:ext cx="2512122" cy="3879608"/>
                    </a:xfrm>
                    <a:prstGeom prst="rect">
                      <a:avLst/>
                    </a:prstGeom>
                    <a:ln/>
                  </pic:spPr>
                </pic:pic>
              </a:graphicData>
            </a:graphic>
          </wp:inline>
        </w:drawing>
      </w:r>
    </w:p>
    <w:p w14:paraId="1F474C67" w14:textId="6E5B992C" w:rsidR="00743C8D" w:rsidRDefault="00743C8D" w:rsidP="00743C8D">
      <w:pPr>
        <w:rPr>
          <w:sz w:val="20"/>
          <w:szCs w:val="20"/>
        </w:rPr>
      </w:pPr>
      <w:r>
        <w:rPr>
          <w:b/>
          <w:sz w:val="20"/>
          <w:szCs w:val="20"/>
        </w:rPr>
        <w:t>Figure 2. The spatial distribution of weekly cases, testing and test positivity across Bangladesh districts when B.1.351 was first detected on 27 January and by 1 April 2021.</w:t>
      </w:r>
      <w:r>
        <w:rPr>
          <w:sz w:val="20"/>
          <w:szCs w:val="20"/>
        </w:rPr>
        <w:t xml:space="preserve"> Cases and test numbers represent the cumulative count for that given week. Positivity was calculated as the ratio between the weekly cases and tests.  </w:t>
      </w:r>
    </w:p>
    <w:p w14:paraId="4B1016DC" w14:textId="77777777" w:rsidR="00743C8D" w:rsidRPr="00743C8D" w:rsidRDefault="00743C8D" w:rsidP="00743C8D">
      <w:pPr>
        <w:rPr>
          <w:sz w:val="20"/>
          <w:szCs w:val="20"/>
        </w:rPr>
      </w:pPr>
    </w:p>
    <w:p w14:paraId="23D67451" w14:textId="7109C7EA" w:rsidR="00CC3B4D" w:rsidRDefault="0092665C">
      <w:pPr>
        <w:spacing w:before="240" w:after="240"/>
      </w:pPr>
      <w:r>
        <w:t>In the absence of immunity from mass vaccination and with the next tranche of vaccines possibly delayed,</w:t>
      </w:r>
      <w:hyperlink r:id="rId26">
        <w:r>
          <w:rPr>
            <w:vertAlign w:val="superscript"/>
          </w:rPr>
          <w:t>16</w:t>
        </w:r>
      </w:hyperlink>
      <w:r>
        <w:t xml:space="preserve"> ur</w:t>
      </w:r>
      <w:r>
        <w:t>gent measures are needed to minimize the potentially devastating impacts of the current surge</w:t>
      </w:r>
      <w:r>
        <w:t>. The Bangladesh government recently announced a more strictly enforced second lockdown offering a window for strengthening the response.</w:t>
      </w:r>
      <w:hyperlink r:id="rId27">
        <w:r>
          <w:rPr>
            <w:vertAlign w:val="superscript"/>
          </w:rPr>
          <w:t>17</w:t>
        </w:r>
      </w:hyperlink>
      <w:r>
        <w:t xml:space="preserve"> To limit transmission national and social media communications amplified by community-level advocacy for staying home and wearing masks should be linked with mass mask distribution beginning in the most de</w:t>
      </w:r>
      <w:r>
        <w:t>nsely populated areas. Oxygen supplies need reassessing and triage practices need review to ensure prioritization of hospital resources that are already approaching capacity</w:t>
      </w:r>
      <w:r>
        <w:t>.</w:t>
      </w:r>
      <w:hyperlink r:id="rId28">
        <w:r>
          <w:rPr>
            <w:vertAlign w:val="superscript"/>
          </w:rPr>
          <w:t>1</w:t>
        </w:r>
      </w:hyperlink>
      <w:r>
        <w:t xml:space="preserve"> Personnel, tran</w:t>
      </w:r>
      <w:r>
        <w:t>sport, and procurement need reinforcement to secure diagnostic and surveillance capacity as daily tests are saturat</w:t>
      </w:r>
      <w:r>
        <w:t>ing at &gt;30,000/day</w:t>
      </w:r>
      <w:r>
        <w:t xml:space="preserve">, sample-to-reporting delays are increasing with test volumes and </w:t>
      </w:r>
      <w:r>
        <w:t>overall test positivity</w:t>
      </w:r>
      <w:r>
        <w:t xml:space="preserve"> now exceeds 30% (Figure 2).</w:t>
      </w:r>
      <w:hyperlink r:id="rId29">
        <w:r>
          <w:rPr>
            <w:vertAlign w:val="superscript"/>
          </w:rPr>
          <w:t>1</w:t>
        </w:r>
      </w:hyperlink>
      <w:r>
        <w:t xml:space="preserve"> Vaccine import needs expediting.</w:t>
      </w:r>
      <w:r>
        <w:t xml:space="preserve"> </w:t>
      </w:r>
    </w:p>
    <w:p w14:paraId="1ADECDEE" w14:textId="4349C2B9" w:rsidR="00743C8D" w:rsidRPr="00743C8D" w:rsidRDefault="0092665C" w:rsidP="00743C8D">
      <w:pPr>
        <w:spacing w:before="240" w:after="240"/>
      </w:pPr>
      <w:r>
        <w:t>Genomic and epidemiological e</w:t>
      </w:r>
      <w:r>
        <w:t>vidence from Bangladesh highlights the threat from immune escape in populations where vaccination coverage remains negligible and serves as forewarning for other densely populated countries</w:t>
      </w:r>
      <w:r>
        <w:t>. We emphasize the importance of genomic surveillance and timely</w:t>
      </w:r>
      <w:r>
        <w:t xml:space="preserve"> sharing of information for effective response to the changing epidemiological situation around the world.</w:t>
      </w:r>
      <w:hyperlink r:id="rId30">
        <w:r>
          <w:rPr>
            <w:vertAlign w:val="superscript"/>
          </w:rPr>
          <w:t>18</w:t>
        </w:r>
      </w:hyperlink>
    </w:p>
    <w:p w14:paraId="2B8D2193" w14:textId="03381DE0" w:rsidR="00CC3B4D" w:rsidRDefault="0092665C" w:rsidP="00845408">
      <w:pPr>
        <w:spacing w:line="240" w:lineRule="auto"/>
        <w:rPr>
          <w:b/>
        </w:rPr>
      </w:pPr>
      <w:r>
        <w:rPr>
          <w:b/>
        </w:rPr>
        <w:t>Methods</w:t>
      </w:r>
    </w:p>
    <w:p w14:paraId="604DD732" w14:textId="77777777" w:rsidR="00CC3B4D" w:rsidRDefault="0092665C">
      <w:pPr>
        <w:spacing w:line="240" w:lineRule="auto"/>
      </w:pPr>
      <w:r>
        <w:t>Data on SAR-CoV-2 variants were downloaded from the Bangladesh-build</w:t>
      </w:r>
      <w:hyperlink r:id="rId31">
        <w:r>
          <w:rPr>
            <w:vertAlign w:val="superscript"/>
          </w:rPr>
          <w:t>3</w:t>
        </w:r>
      </w:hyperlink>
      <w:r>
        <w:t xml:space="preserve"> from nextstrain</w:t>
      </w:r>
      <w:hyperlink r:id="rId32">
        <w:r>
          <w:rPr>
            <w:vertAlign w:val="superscript"/>
          </w:rPr>
          <w:t>19</w:t>
        </w:r>
      </w:hyperlink>
      <w:r>
        <w:t xml:space="preserve"> and on COVID-19 cases, deaths and vaccinatio</w:t>
      </w:r>
      <w:r>
        <w:t>ns using the coronavirus</w:t>
      </w:r>
      <w:hyperlink r:id="rId33">
        <w:r>
          <w:rPr>
            <w:vertAlign w:val="superscript"/>
          </w:rPr>
          <w:t>20</w:t>
        </w:r>
      </w:hyperlink>
      <w:r>
        <w:rPr>
          <w:vertAlign w:val="superscript"/>
        </w:rPr>
        <w:t xml:space="preserve"> </w:t>
      </w:r>
      <w:r>
        <w:t>and tidycovid19</w:t>
      </w:r>
      <w:hyperlink r:id="rId34">
        <w:r>
          <w:rPr>
            <w:vertAlign w:val="superscript"/>
          </w:rPr>
          <w:t>21</w:t>
        </w:r>
      </w:hyperlink>
      <w:r>
        <w:t xml:space="preserve"> </w:t>
      </w:r>
      <w:r>
        <w:lastRenderedPageBreak/>
        <w:t>packages in R.</w:t>
      </w:r>
      <w:hyperlink r:id="rId35">
        <w:r>
          <w:rPr>
            <w:vertAlign w:val="superscript"/>
          </w:rPr>
          <w:t>22</w:t>
        </w:r>
      </w:hyperlink>
      <w:r>
        <w:t xml:space="preserve"> Data on </w:t>
      </w:r>
      <w:r>
        <w:t>reinfections, defined as confirmed rt-PCR positive tests collected from the same individual more than 90 days apart, were extracted from the a2i data warehouse. R</w:t>
      </w:r>
      <w:r>
        <w:rPr>
          <w:i/>
        </w:rPr>
        <w:t>t</w:t>
      </w:r>
      <w:r>
        <w:t xml:space="preserve"> and 95% confidence intervals were estimated over the course of the epidemic and for the B.1.</w:t>
      </w:r>
      <w:r>
        <w:t xml:space="preserve">351 variant using the </w:t>
      </w:r>
      <w:proofErr w:type="spellStart"/>
      <w:r>
        <w:t>EpiEstim</w:t>
      </w:r>
      <w:proofErr w:type="spellEnd"/>
      <w:r>
        <w:t xml:space="preserve"> function</w:t>
      </w:r>
      <w:hyperlink r:id="rId36">
        <w:r>
          <w:rPr>
            <w:vertAlign w:val="superscript"/>
          </w:rPr>
          <w:t>23</w:t>
        </w:r>
      </w:hyperlink>
      <w:r>
        <w:t>. We estimated R</w:t>
      </w:r>
      <w:r>
        <w:rPr>
          <w:i/>
        </w:rPr>
        <w:t>t</w:t>
      </w:r>
      <w:r>
        <w:t xml:space="preserve"> for the B.1.351 variant in two ways: 1) assuming that B.1.351 infections matched the variant’s daily interpolated frequency, accounting</w:t>
      </w:r>
      <w:r>
        <w:t xml:space="preserve"> for the small numbers of sequenced cases, and 2) by assuming recorded reinfections were due solely to B.1.351 since first detection. We recalibrated an SEIR model to the daily confirmed COVID-19 deaths in Bangladesh, tuning to starting numbers of cases in</w:t>
      </w:r>
      <w:r>
        <w:t xml:space="preserve"> January 2021 and examining across a range of levels of prior immunity. Full details on </w:t>
      </w:r>
      <w:hyperlink r:id="rId37">
        <w:r>
          <w:rPr>
            <w:color w:val="1155CC"/>
            <w:u w:val="single"/>
          </w:rPr>
          <w:t>https://github.com/boydorr/BGD_Covid-19</w:t>
        </w:r>
      </w:hyperlink>
      <w:r>
        <w:t xml:space="preserve">. </w:t>
      </w:r>
    </w:p>
    <w:p w14:paraId="25458E5B" w14:textId="708ED5BD" w:rsidR="00CC3B4D" w:rsidRDefault="00CC3B4D">
      <w:pPr>
        <w:spacing w:line="240" w:lineRule="auto"/>
        <w:rPr>
          <w:b/>
        </w:rPr>
      </w:pPr>
    </w:p>
    <w:p w14:paraId="1261C75A" w14:textId="77777777" w:rsidR="00743C8D" w:rsidRDefault="00743C8D">
      <w:pPr>
        <w:spacing w:line="240" w:lineRule="auto"/>
        <w:rPr>
          <w:b/>
        </w:rPr>
      </w:pPr>
    </w:p>
    <w:p w14:paraId="7872EFD4" w14:textId="77777777" w:rsidR="00CC3B4D" w:rsidRDefault="0092665C">
      <w:pPr>
        <w:spacing w:line="240" w:lineRule="auto"/>
        <w:ind w:left="264"/>
        <w:rPr>
          <w:b/>
        </w:rPr>
      </w:pPr>
      <w:r>
        <w:rPr>
          <w:b/>
        </w:rPr>
        <w:t>References</w:t>
      </w:r>
    </w:p>
    <w:p w14:paraId="6C678FC0" w14:textId="77777777" w:rsidR="00CC3B4D" w:rsidRDefault="0092665C">
      <w:pPr>
        <w:widowControl w:val="0"/>
        <w:pBdr>
          <w:top w:val="nil"/>
          <w:left w:val="nil"/>
          <w:bottom w:val="nil"/>
          <w:right w:val="nil"/>
          <w:between w:val="nil"/>
        </w:pBdr>
        <w:spacing w:line="240" w:lineRule="auto"/>
        <w:ind w:left="264" w:hanging="264"/>
        <w:rPr>
          <w:b/>
        </w:rPr>
      </w:pPr>
      <w:hyperlink r:id="rId38">
        <w:r>
          <w:t>1</w:t>
        </w:r>
        <w:r>
          <w:tab/>
          <w:t>MIS, DGHS. Coronavirus COVID-19 Dashboard, 2020. 2021. http://103.247.238.92/webportal/pages/covid19.php (accessed April 12, 2021).</w:t>
        </w:r>
      </w:hyperlink>
    </w:p>
    <w:p w14:paraId="5C029CC7" w14:textId="77777777" w:rsidR="00CC3B4D" w:rsidRDefault="0092665C">
      <w:pPr>
        <w:widowControl w:val="0"/>
        <w:pBdr>
          <w:top w:val="nil"/>
          <w:left w:val="nil"/>
          <w:bottom w:val="nil"/>
          <w:right w:val="nil"/>
          <w:between w:val="nil"/>
        </w:pBdr>
        <w:spacing w:line="240" w:lineRule="auto"/>
        <w:ind w:left="264" w:hanging="264"/>
        <w:rPr>
          <w:b/>
        </w:rPr>
      </w:pPr>
      <w:hyperlink r:id="rId39">
        <w:r>
          <w:t>2</w:t>
        </w:r>
        <w:r>
          <w:tab/>
        </w:r>
        <w:proofErr w:type="spellStart"/>
        <w:r>
          <w:t>Rambaut</w:t>
        </w:r>
        <w:proofErr w:type="spellEnd"/>
        <w:r>
          <w:t xml:space="preserve"> A, Holmes EC, O’Toole Á, </w:t>
        </w:r>
      </w:hyperlink>
      <w:hyperlink r:id="rId40">
        <w:r>
          <w:rPr>
            <w:i/>
          </w:rPr>
          <w:t>et al.</w:t>
        </w:r>
      </w:hyperlink>
      <w:hyperlink r:id="rId41">
        <w:r>
          <w:t xml:space="preserve"> A dynamic nomenclature proposal for SARS-CoV-2 lineages to assist genomic epidemiology. </w:t>
        </w:r>
      </w:hyperlink>
      <w:hyperlink r:id="rId42">
        <w:r>
          <w:rPr>
            <w:i/>
          </w:rPr>
          <w:t>Nat Microbiol</w:t>
        </w:r>
      </w:hyperlink>
      <w:hyperlink r:id="rId43">
        <w:r>
          <w:t xml:space="preserve"> 2020; </w:t>
        </w:r>
      </w:hyperlink>
      <w:hyperlink r:id="rId44">
        <w:r>
          <w:rPr>
            <w:b/>
          </w:rPr>
          <w:t>5</w:t>
        </w:r>
      </w:hyperlink>
      <w:hyperlink r:id="rId45">
        <w:r>
          <w:t>: 1403–7.</w:t>
        </w:r>
      </w:hyperlink>
    </w:p>
    <w:p w14:paraId="6B456B03" w14:textId="77777777" w:rsidR="00CC3B4D" w:rsidRDefault="0092665C">
      <w:pPr>
        <w:widowControl w:val="0"/>
        <w:pBdr>
          <w:top w:val="nil"/>
          <w:left w:val="nil"/>
          <w:bottom w:val="nil"/>
          <w:right w:val="nil"/>
          <w:between w:val="nil"/>
        </w:pBdr>
        <w:spacing w:line="240" w:lineRule="auto"/>
        <w:ind w:left="264" w:hanging="264"/>
        <w:rPr>
          <w:b/>
        </w:rPr>
      </w:pPr>
      <w:hyperlink r:id="rId46">
        <w:r>
          <w:t>3</w:t>
        </w:r>
        <w:r>
          <w:tab/>
          <w:t xml:space="preserve">Saha S, Tanmoy AM, Al Sium SM, </w:t>
        </w:r>
      </w:hyperlink>
      <w:hyperlink r:id="rId47">
        <w:r>
          <w:rPr>
            <w:i/>
          </w:rPr>
          <w:t>et al.</w:t>
        </w:r>
      </w:hyperlink>
      <w:hyperlink r:id="rId48">
        <w:r>
          <w:t xml:space="preserve"> Detection of the B.1.1.7 and B.1</w:t>
        </w:r>
        <w:r>
          <w:t>.351 SARS-CoV-2 variants in Bangladesh. 2021; published online March 26. https://virological.org/t/detection-of-the-b-1-1-7-and-b-1-351-sars-cov-2-variants-in-bangladesh/668 (accessed April 6, 2021).</w:t>
        </w:r>
      </w:hyperlink>
    </w:p>
    <w:p w14:paraId="6127416E" w14:textId="77777777" w:rsidR="00CC3B4D" w:rsidRDefault="0092665C">
      <w:pPr>
        <w:widowControl w:val="0"/>
        <w:pBdr>
          <w:top w:val="nil"/>
          <w:left w:val="nil"/>
          <w:bottom w:val="nil"/>
          <w:right w:val="nil"/>
          <w:between w:val="nil"/>
        </w:pBdr>
        <w:spacing w:line="240" w:lineRule="auto"/>
        <w:ind w:left="264" w:hanging="264"/>
        <w:rPr>
          <w:b/>
        </w:rPr>
      </w:pPr>
      <w:hyperlink r:id="rId49">
        <w:r>
          <w:t>4</w:t>
        </w:r>
        <w:r>
          <w:tab/>
          <w:t>Child Health Research Foundation. Genomic epidemiology of novel coronavirus - Bangladesh-focused subsampling. https://nextstrain.org/community/CHRF-Genomics/ncovBangladesh@main?c=clade_membership&amp;f_country=Bangladesh (accessed April 6, 2021).</w:t>
        </w:r>
      </w:hyperlink>
    </w:p>
    <w:p w14:paraId="3A06162B" w14:textId="77777777" w:rsidR="00CC3B4D" w:rsidRDefault="0092665C">
      <w:pPr>
        <w:widowControl w:val="0"/>
        <w:pBdr>
          <w:top w:val="nil"/>
          <w:left w:val="nil"/>
          <w:bottom w:val="nil"/>
          <w:right w:val="nil"/>
          <w:between w:val="nil"/>
        </w:pBdr>
        <w:spacing w:line="240" w:lineRule="auto"/>
        <w:ind w:left="264" w:hanging="264"/>
        <w:rPr>
          <w:b/>
        </w:rPr>
      </w:pPr>
      <w:hyperlink r:id="rId50">
        <w:r>
          <w:t>5</w:t>
        </w:r>
        <w:r>
          <w:tab/>
        </w:r>
        <w:proofErr w:type="spellStart"/>
        <w:r>
          <w:t>Tegally</w:t>
        </w:r>
        <w:proofErr w:type="spellEnd"/>
        <w:r>
          <w:t xml:space="preserve"> H, Wilkinson E, </w:t>
        </w:r>
        <w:proofErr w:type="spellStart"/>
        <w:r>
          <w:t>Giovanetti</w:t>
        </w:r>
        <w:proofErr w:type="spellEnd"/>
        <w:r>
          <w:t xml:space="preserve"> M, </w:t>
        </w:r>
      </w:hyperlink>
      <w:hyperlink r:id="rId51">
        <w:r>
          <w:rPr>
            <w:i/>
          </w:rPr>
          <w:t>et al.</w:t>
        </w:r>
      </w:hyperlink>
      <w:hyperlink r:id="rId52">
        <w:r>
          <w:t xml:space="preserve"> Emergence and rapid spread o</w:t>
        </w:r>
        <w:r>
          <w:t xml:space="preserve">f a new severe acute respiratory syndrome-related coronavirus 2 (SARS-CoV-2) lineage with multiple spike mutations in South Africa. </w:t>
        </w:r>
      </w:hyperlink>
      <w:hyperlink r:id="rId53">
        <w:proofErr w:type="spellStart"/>
        <w:r>
          <w:rPr>
            <w:i/>
          </w:rPr>
          <w:t>medRxiv</w:t>
        </w:r>
        <w:proofErr w:type="spellEnd"/>
      </w:hyperlink>
      <w:hyperlink r:id="rId54">
        <w:r>
          <w:t xml:space="preserve"> 2020</w:t>
        </w:r>
        <w:proofErr w:type="gramStart"/>
        <w:r>
          <w:t>; :</w:t>
        </w:r>
        <w:proofErr w:type="gramEnd"/>
        <w:r>
          <w:t xml:space="preserve"> 2020.12.21.20248640.</w:t>
        </w:r>
      </w:hyperlink>
    </w:p>
    <w:p w14:paraId="168D371B" w14:textId="77777777" w:rsidR="00CC3B4D" w:rsidRDefault="0092665C">
      <w:pPr>
        <w:widowControl w:val="0"/>
        <w:pBdr>
          <w:top w:val="nil"/>
          <w:left w:val="nil"/>
          <w:bottom w:val="nil"/>
          <w:right w:val="nil"/>
          <w:between w:val="nil"/>
        </w:pBdr>
        <w:spacing w:line="240" w:lineRule="auto"/>
        <w:ind w:left="264" w:hanging="264"/>
        <w:rPr>
          <w:b/>
        </w:rPr>
      </w:pPr>
      <w:hyperlink r:id="rId55">
        <w:r>
          <w:t>6</w:t>
        </w:r>
        <w:r>
          <w:tab/>
        </w:r>
        <w:proofErr w:type="spellStart"/>
        <w:r>
          <w:t>Wibmer</w:t>
        </w:r>
        <w:proofErr w:type="spellEnd"/>
        <w:r>
          <w:t xml:space="preserve"> CK, Ayres F, Hermanus T, </w:t>
        </w:r>
      </w:hyperlink>
      <w:hyperlink r:id="rId56">
        <w:r>
          <w:rPr>
            <w:i/>
          </w:rPr>
          <w:t>et al.</w:t>
        </w:r>
      </w:hyperlink>
      <w:hyperlink r:id="rId57">
        <w:r>
          <w:t xml:space="preserve"> SARS-CoV-2 501Y.V2 escapes neutralization by South African COVID-19 donor plasma. </w:t>
        </w:r>
      </w:hyperlink>
      <w:hyperlink r:id="rId58">
        <w:r>
          <w:rPr>
            <w:i/>
          </w:rPr>
          <w:t>Nat Med</w:t>
        </w:r>
      </w:hyperlink>
      <w:hyperlink r:id="rId59">
        <w:r>
          <w:t xml:space="preserve"> 2021</w:t>
        </w:r>
        <w:proofErr w:type="gramStart"/>
        <w:r>
          <w:t>; :</w:t>
        </w:r>
        <w:proofErr w:type="gramEnd"/>
        <w:r>
          <w:t xml:space="preserve"> 1–4.</w:t>
        </w:r>
      </w:hyperlink>
    </w:p>
    <w:p w14:paraId="4287C539" w14:textId="77777777" w:rsidR="00CC3B4D" w:rsidRDefault="0092665C">
      <w:pPr>
        <w:widowControl w:val="0"/>
        <w:pBdr>
          <w:top w:val="nil"/>
          <w:left w:val="nil"/>
          <w:bottom w:val="nil"/>
          <w:right w:val="nil"/>
          <w:between w:val="nil"/>
        </w:pBdr>
        <w:spacing w:line="240" w:lineRule="auto"/>
        <w:ind w:left="264" w:hanging="264"/>
        <w:rPr>
          <w:b/>
        </w:rPr>
      </w:pPr>
      <w:hyperlink r:id="rId60">
        <w:r>
          <w:t>7</w:t>
        </w:r>
        <w:r>
          <w:tab/>
        </w:r>
        <w:proofErr w:type="spellStart"/>
        <w:r>
          <w:t>Planas</w:t>
        </w:r>
        <w:proofErr w:type="spellEnd"/>
        <w:r>
          <w:t xml:space="preserve"> D, </w:t>
        </w:r>
        <w:proofErr w:type="spellStart"/>
        <w:r>
          <w:t>Bruel</w:t>
        </w:r>
        <w:proofErr w:type="spellEnd"/>
        <w:r>
          <w:t xml:space="preserve"> T, </w:t>
        </w:r>
        <w:proofErr w:type="spellStart"/>
        <w:r>
          <w:t>Grzelak</w:t>
        </w:r>
        <w:proofErr w:type="spellEnd"/>
        <w:r>
          <w:t xml:space="preserve"> L, </w:t>
        </w:r>
      </w:hyperlink>
      <w:hyperlink r:id="rId61">
        <w:r>
          <w:rPr>
            <w:i/>
          </w:rPr>
          <w:t>et al.</w:t>
        </w:r>
      </w:hyperlink>
      <w:hyperlink r:id="rId62">
        <w:r>
          <w:t xml:space="preserve"> Sensitivity of infectious SARS-CoV-2 B.1.1.7 and B.1</w:t>
        </w:r>
        <w:r>
          <w:t xml:space="preserve">.351 variants to neutralizing antibodies. </w:t>
        </w:r>
      </w:hyperlink>
      <w:hyperlink r:id="rId63">
        <w:r>
          <w:rPr>
            <w:i/>
          </w:rPr>
          <w:t>Nat Med</w:t>
        </w:r>
      </w:hyperlink>
      <w:hyperlink r:id="rId64">
        <w:r>
          <w:t xml:space="preserve"> 2021</w:t>
        </w:r>
        <w:proofErr w:type="gramStart"/>
        <w:r>
          <w:t>; :</w:t>
        </w:r>
        <w:proofErr w:type="gramEnd"/>
        <w:r>
          <w:t xml:space="preserve"> 1–8.</w:t>
        </w:r>
      </w:hyperlink>
    </w:p>
    <w:p w14:paraId="6DA6014F" w14:textId="77777777" w:rsidR="00CC3B4D" w:rsidRDefault="0092665C">
      <w:pPr>
        <w:widowControl w:val="0"/>
        <w:pBdr>
          <w:top w:val="nil"/>
          <w:left w:val="nil"/>
          <w:bottom w:val="nil"/>
          <w:right w:val="nil"/>
          <w:between w:val="nil"/>
        </w:pBdr>
        <w:spacing w:line="240" w:lineRule="auto"/>
        <w:ind w:left="264" w:hanging="264"/>
        <w:rPr>
          <w:b/>
        </w:rPr>
      </w:pPr>
      <w:hyperlink r:id="rId65">
        <w:r>
          <w:t>8</w:t>
        </w:r>
        <w:r>
          <w:tab/>
          <w:t xml:space="preserve">Cele </w:t>
        </w:r>
        <w:r>
          <w:t xml:space="preserve">S, </w:t>
        </w:r>
        <w:proofErr w:type="spellStart"/>
        <w:r>
          <w:t>Gazy</w:t>
        </w:r>
        <w:proofErr w:type="spellEnd"/>
        <w:r>
          <w:t xml:space="preserve"> I, Jackson L, </w:t>
        </w:r>
      </w:hyperlink>
      <w:hyperlink r:id="rId66">
        <w:r>
          <w:rPr>
            <w:i/>
          </w:rPr>
          <w:t>et al.</w:t>
        </w:r>
      </w:hyperlink>
      <w:hyperlink r:id="rId67">
        <w:r>
          <w:t xml:space="preserve"> Escape of SARS-CoV-2 501Y.V2 from neutralization by convalescent plasma. </w:t>
        </w:r>
      </w:hyperlink>
      <w:hyperlink r:id="rId68">
        <w:r>
          <w:rPr>
            <w:i/>
          </w:rPr>
          <w:t>Nature</w:t>
        </w:r>
      </w:hyperlink>
      <w:hyperlink r:id="rId69">
        <w:r>
          <w:t xml:space="preserve"> 2021</w:t>
        </w:r>
        <w:proofErr w:type="gramStart"/>
        <w:r>
          <w:t>; :</w:t>
        </w:r>
        <w:proofErr w:type="gramEnd"/>
        <w:r>
          <w:t xml:space="preserve"> 1–9.</w:t>
        </w:r>
      </w:hyperlink>
    </w:p>
    <w:p w14:paraId="148D193B" w14:textId="77777777" w:rsidR="00CC3B4D" w:rsidRDefault="0092665C">
      <w:pPr>
        <w:widowControl w:val="0"/>
        <w:pBdr>
          <w:top w:val="nil"/>
          <w:left w:val="nil"/>
          <w:bottom w:val="nil"/>
          <w:right w:val="nil"/>
          <w:between w:val="nil"/>
        </w:pBdr>
        <w:spacing w:line="240" w:lineRule="auto"/>
        <w:ind w:left="264" w:hanging="264"/>
        <w:rPr>
          <w:b/>
        </w:rPr>
      </w:pPr>
      <w:hyperlink r:id="rId70">
        <w:r>
          <w:t>9</w:t>
        </w:r>
        <w:r>
          <w:tab/>
          <w:t xml:space="preserve">Zhou D, </w:t>
        </w:r>
        <w:proofErr w:type="spellStart"/>
        <w:r>
          <w:t>Dejnirattisai</w:t>
        </w:r>
        <w:proofErr w:type="spellEnd"/>
        <w:r>
          <w:t xml:space="preserve"> W, </w:t>
        </w:r>
        <w:proofErr w:type="spellStart"/>
        <w:r>
          <w:t>Supasa</w:t>
        </w:r>
        <w:proofErr w:type="spellEnd"/>
        <w:r>
          <w:t xml:space="preserve"> P, </w:t>
        </w:r>
      </w:hyperlink>
      <w:hyperlink r:id="rId71">
        <w:r>
          <w:rPr>
            <w:i/>
          </w:rPr>
          <w:t>et al.</w:t>
        </w:r>
      </w:hyperlink>
      <w:hyperlink r:id="rId72">
        <w:r>
          <w:t xml:space="preserve"> Evidence of escape of SARS-CoV-2 variant B.1.351 from natural an</w:t>
        </w:r>
        <w:r>
          <w:t xml:space="preserve">d vaccine-induced sera. </w:t>
        </w:r>
      </w:hyperlink>
      <w:hyperlink r:id="rId73">
        <w:r>
          <w:rPr>
            <w:i/>
          </w:rPr>
          <w:t>Cell</w:t>
        </w:r>
      </w:hyperlink>
      <w:hyperlink r:id="rId74">
        <w:r>
          <w:t xml:space="preserve"> 2021; published online Feb 23. </w:t>
        </w:r>
        <w:proofErr w:type="gramStart"/>
        <w:r>
          <w:t>DOI:10.1016/j.cell</w:t>
        </w:r>
        <w:proofErr w:type="gramEnd"/>
        <w:r>
          <w:t>.2021.02.037.</w:t>
        </w:r>
      </w:hyperlink>
    </w:p>
    <w:p w14:paraId="040DA4B5" w14:textId="77777777" w:rsidR="00CC3B4D" w:rsidRDefault="0092665C">
      <w:pPr>
        <w:widowControl w:val="0"/>
        <w:pBdr>
          <w:top w:val="nil"/>
          <w:left w:val="nil"/>
          <w:bottom w:val="nil"/>
          <w:right w:val="nil"/>
          <w:between w:val="nil"/>
        </w:pBdr>
        <w:spacing w:line="240" w:lineRule="auto"/>
        <w:ind w:left="264" w:hanging="264"/>
        <w:rPr>
          <w:b/>
        </w:rPr>
      </w:pPr>
      <w:hyperlink r:id="rId75">
        <w:r>
          <w:t>10</w:t>
        </w:r>
        <w:r>
          <w:tab/>
        </w:r>
        <w:proofErr w:type="spellStart"/>
        <w:r>
          <w:t>Madhi</w:t>
        </w:r>
        <w:proofErr w:type="spellEnd"/>
        <w:r>
          <w:t xml:space="preserve"> SA, Baillie V, </w:t>
        </w:r>
        <w:proofErr w:type="spellStart"/>
        <w:r>
          <w:t>Cutland</w:t>
        </w:r>
        <w:proofErr w:type="spellEnd"/>
        <w:r>
          <w:t xml:space="preserve"> CL, </w:t>
        </w:r>
      </w:hyperlink>
      <w:hyperlink r:id="rId76">
        <w:r>
          <w:rPr>
            <w:i/>
          </w:rPr>
          <w:t>et al.</w:t>
        </w:r>
      </w:hyperlink>
      <w:hyperlink r:id="rId77">
        <w:r>
          <w:t xml:space="preserve"> Safety and efficacy of the Ch</w:t>
        </w:r>
        <w:r>
          <w:t xml:space="preserve">AdOx1 nCoV-19 (AZD1222) Covid-19 vaccine against the B.1.351 variant in South Africa. </w:t>
        </w:r>
      </w:hyperlink>
      <w:hyperlink r:id="rId78">
        <w:proofErr w:type="spellStart"/>
        <w:r>
          <w:rPr>
            <w:i/>
          </w:rPr>
          <w:t>medRxiv</w:t>
        </w:r>
        <w:proofErr w:type="spellEnd"/>
      </w:hyperlink>
      <w:hyperlink r:id="rId79">
        <w:r>
          <w:t xml:space="preserve"> 2021</w:t>
        </w:r>
        <w:proofErr w:type="gramStart"/>
        <w:r>
          <w:t>; :</w:t>
        </w:r>
        <w:proofErr w:type="gramEnd"/>
        <w:r>
          <w:t xml:space="preserve"> 2021.02.10.21251247.</w:t>
        </w:r>
      </w:hyperlink>
    </w:p>
    <w:p w14:paraId="1A74770B" w14:textId="77777777" w:rsidR="00CC3B4D" w:rsidRDefault="0092665C">
      <w:pPr>
        <w:widowControl w:val="0"/>
        <w:pBdr>
          <w:top w:val="nil"/>
          <w:left w:val="nil"/>
          <w:bottom w:val="nil"/>
          <w:right w:val="nil"/>
          <w:between w:val="nil"/>
        </w:pBdr>
        <w:spacing w:line="240" w:lineRule="auto"/>
        <w:ind w:left="264" w:hanging="264"/>
        <w:rPr>
          <w:b/>
        </w:rPr>
      </w:pPr>
      <w:hyperlink r:id="rId80">
        <w:r>
          <w:t>11</w:t>
        </w:r>
        <w:r>
          <w:tab/>
          <w:t>OurWorldInData.org. Daily COVID-19 vaccine doses administered. Dly. COVID-19 Vaccine Doses Adm. https://ourworldindata.org/grapher/daily-covid-19-vaccination-doses?tab=chart&amp;country=~BGD (accessed Apr</w:t>
        </w:r>
        <w:r>
          <w:t>il 12, 2021).</w:t>
        </w:r>
      </w:hyperlink>
    </w:p>
    <w:p w14:paraId="010798D2" w14:textId="77777777" w:rsidR="00CC3B4D" w:rsidRDefault="0092665C">
      <w:pPr>
        <w:widowControl w:val="0"/>
        <w:pBdr>
          <w:top w:val="nil"/>
          <w:left w:val="nil"/>
          <w:bottom w:val="nil"/>
          <w:right w:val="nil"/>
          <w:between w:val="nil"/>
        </w:pBdr>
        <w:spacing w:line="240" w:lineRule="auto"/>
        <w:ind w:left="264" w:hanging="264"/>
        <w:rPr>
          <w:b/>
        </w:rPr>
      </w:pPr>
      <w:hyperlink r:id="rId81">
        <w:r>
          <w:t>12</w:t>
        </w:r>
        <w:r>
          <w:tab/>
          <w:t>Icddr’b. The IEDCR and partners share insights on the prevalence, seroprevalence and genomic epidemiology of COVID-19 in Dhaka city. 2020; published online Oct 12. https://www.i</w:t>
        </w:r>
        <w:r>
          <w:t>cddrb.org/quick-links/press-releases?id=97&amp;task=view (accessed April 10, 2021).</w:t>
        </w:r>
      </w:hyperlink>
    </w:p>
    <w:p w14:paraId="1B7E7021" w14:textId="77777777" w:rsidR="00CC3B4D" w:rsidRDefault="0092665C">
      <w:pPr>
        <w:widowControl w:val="0"/>
        <w:pBdr>
          <w:top w:val="nil"/>
          <w:left w:val="nil"/>
          <w:bottom w:val="nil"/>
          <w:right w:val="nil"/>
          <w:between w:val="nil"/>
        </w:pBdr>
        <w:spacing w:line="240" w:lineRule="auto"/>
        <w:ind w:left="264" w:hanging="264"/>
        <w:rPr>
          <w:b/>
        </w:rPr>
      </w:pPr>
      <w:hyperlink r:id="rId82">
        <w:r>
          <w:t>13</w:t>
        </w:r>
        <w:r>
          <w:tab/>
          <w:t xml:space="preserve">Ferguson E, Brum E, Chowdhury A, </w:t>
        </w:r>
      </w:hyperlink>
      <w:hyperlink r:id="rId83">
        <w:r>
          <w:rPr>
            <w:i/>
          </w:rPr>
          <w:t>et al.</w:t>
        </w:r>
      </w:hyperlink>
      <w:hyperlink r:id="rId84">
        <w:r>
          <w:t xml:space="preserve"> Modelling to inform the COVID-19 response in Bangladesh. </w:t>
        </w:r>
      </w:hyperlink>
      <w:hyperlink r:id="rId85">
        <w:proofErr w:type="spellStart"/>
        <w:r>
          <w:rPr>
            <w:i/>
          </w:rPr>
          <w:t>medRxiv</w:t>
        </w:r>
        <w:proofErr w:type="spellEnd"/>
      </w:hyperlink>
      <w:hyperlink r:id="rId86">
        <w:r>
          <w:t xml:space="preserve"> 2021; publishe</w:t>
        </w:r>
        <w:r>
          <w:t>d online April 12.</w:t>
        </w:r>
      </w:hyperlink>
    </w:p>
    <w:p w14:paraId="5CA07289" w14:textId="77777777" w:rsidR="00CC3B4D" w:rsidRDefault="0092665C">
      <w:pPr>
        <w:widowControl w:val="0"/>
        <w:pBdr>
          <w:top w:val="nil"/>
          <w:left w:val="nil"/>
          <w:bottom w:val="nil"/>
          <w:right w:val="nil"/>
          <w:between w:val="nil"/>
        </w:pBdr>
        <w:spacing w:line="240" w:lineRule="auto"/>
        <w:ind w:left="264" w:hanging="264"/>
        <w:rPr>
          <w:b/>
        </w:rPr>
      </w:pPr>
      <w:hyperlink r:id="rId87">
        <w:r>
          <w:t>14</w:t>
        </w:r>
        <w:r>
          <w:tab/>
          <w:t>Elahi T. Conditional extension of overall activities / movement to prevent the spread of coronavirus disease COVID-19 (translated from Bangla). Peoples Republic of Banglade</w:t>
        </w:r>
        <w:r>
          <w:t>sh, Cabinet Division, Field Administration Coordination Branch, 2020 www.cabinet.gov.bd.</w:t>
        </w:r>
      </w:hyperlink>
    </w:p>
    <w:p w14:paraId="1256E13A" w14:textId="77777777" w:rsidR="00CC3B4D" w:rsidRDefault="0092665C">
      <w:pPr>
        <w:widowControl w:val="0"/>
        <w:pBdr>
          <w:top w:val="nil"/>
          <w:left w:val="nil"/>
          <w:bottom w:val="nil"/>
          <w:right w:val="nil"/>
          <w:between w:val="nil"/>
        </w:pBdr>
        <w:spacing w:line="240" w:lineRule="auto"/>
        <w:ind w:left="264" w:hanging="264"/>
        <w:rPr>
          <w:b/>
        </w:rPr>
      </w:pPr>
      <w:hyperlink r:id="rId88">
        <w:r>
          <w:t>15</w:t>
        </w:r>
        <w:r>
          <w:tab/>
        </w:r>
        <w:r>
          <w:t>Google. COVID-19 Community Mobility Report Bangladesh 2 April 2021. 2021 https://www.gstatic.com/covid19/mobility/2021-04-02_BD_Mobility_Report_en-GB.pdf.</w:t>
        </w:r>
      </w:hyperlink>
    </w:p>
    <w:p w14:paraId="2A0B3BFF" w14:textId="77777777" w:rsidR="00CC3B4D" w:rsidRDefault="0092665C">
      <w:pPr>
        <w:widowControl w:val="0"/>
        <w:pBdr>
          <w:top w:val="nil"/>
          <w:left w:val="nil"/>
          <w:bottom w:val="nil"/>
          <w:right w:val="nil"/>
          <w:between w:val="nil"/>
        </w:pBdr>
        <w:spacing w:line="240" w:lineRule="auto"/>
        <w:ind w:left="264" w:hanging="264"/>
        <w:rPr>
          <w:b/>
        </w:rPr>
      </w:pPr>
      <w:hyperlink r:id="rId89">
        <w:r>
          <w:t>16</w:t>
        </w:r>
        <w:r>
          <w:tab/>
          <w:t>WHO. COVAX updates participants on d</w:t>
        </w:r>
        <w:r>
          <w:t>elivery delays for vaccines from Serum Institute of India (SII) and AstraZeneca. COVAX Updat. Particip. Deliv. Delays Vaccines Serum Inst. India SII AstraZeneca. 2021; published online March 25. https://www.who.int/news/item/25-03-2021-covax-updates-partic</w:t>
        </w:r>
        <w:r>
          <w:t>ipants-on-delivery-delays-for-vaccines-from-serum-institute-of-india-(sii)-and-astrazeneca (accessed April 12, 2021).</w:t>
        </w:r>
      </w:hyperlink>
    </w:p>
    <w:p w14:paraId="0C097BE2" w14:textId="77777777" w:rsidR="00CC3B4D" w:rsidRDefault="0092665C">
      <w:pPr>
        <w:widowControl w:val="0"/>
        <w:pBdr>
          <w:top w:val="nil"/>
          <w:left w:val="nil"/>
          <w:bottom w:val="nil"/>
          <w:right w:val="nil"/>
          <w:between w:val="nil"/>
        </w:pBdr>
        <w:spacing w:line="240" w:lineRule="auto"/>
        <w:ind w:left="264" w:hanging="264"/>
        <w:rPr>
          <w:b/>
        </w:rPr>
      </w:pPr>
      <w:hyperlink r:id="rId90">
        <w:r>
          <w:t>17</w:t>
        </w:r>
        <w:r>
          <w:tab/>
          <w:t>Editor. Bangladesh to go into week-long hard lockdown from April 14. Dhak</w:t>
        </w:r>
        <w:r>
          <w:t>a Trib. 2021; published online April 9. https://www.dhakatribune.com/health/coronavirus/2021/04/09/government-considering-week-long-full-lockdown-from-april-14.</w:t>
        </w:r>
      </w:hyperlink>
    </w:p>
    <w:p w14:paraId="62E24333" w14:textId="77777777" w:rsidR="00CC3B4D" w:rsidRDefault="0092665C">
      <w:pPr>
        <w:widowControl w:val="0"/>
        <w:pBdr>
          <w:top w:val="nil"/>
          <w:left w:val="nil"/>
          <w:bottom w:val="nil"/>
          <w:right w:val="nil"/>
          <w:between w:val="nil"/>
        </w:pBdr>
        <w:spacing w:line="240" w:lineRule="auto"/>
        <w:ind w:left="264" w:hanging="264"/>
        <w:rPr>
          <w:b/>
        </w:rPr>
      </w:pPr>
      <w:hyperlink r:id="rId91">
        <w:r>
          <w:t>18</w:t>
        </w:r>
        <w:r>
          <w:tab/>
          <w:t xml:space="preserve">Rambaut A, Loman N, Pybus OG, </w:t>
        </w:r>
      </w:hyperlink>
      <w:hyperlink r:id="rId92">
        <w:r>
          <w:rPr>
            <w:i/>
          </w:rPr>
          <w:t>et al.</w:t>
        </w:r>
      </w:hyperlink>
      <w:hyperlink r:id="rId93">
        <w:r>
          <w:t xml:space="preserve"> Preliminary genomic characterisation of an emergent SARS-CoV-2 lineage in the UK defined by a novel set of spike mutations - </w:t>
        </w:r>
        <w:r>
          <w:t>SARS-CoV-2 coronavirus / nCoV-2019 Genomic Epidemiology. Virological. 2020; published online Dec 18. https://virological.org/t/preliminary-genomic-characterisation-of-an-emergent-sars-cov-2-lineage-in-the-uk-defined-by-a-novel-set-of-spike-mutations/563 (a</w:t>
        </w:r>
        <w:r>
          <w:t>ccessed April 16, 2021).</w:t>
        </w:r>
      </w:hyperlink>
    </w:p>
    <w:p w14:paraId="1D38DAEA" w14:textId="77777777" w:rsidR="00CC3B4D" w:rsidRDefault="0092665C">
      <w:pPr>
        <w:widowControl w:val="0"/>
        <w:pBdr>
          <w:top w:val="nil"/>
          <w:left w:val="nil"/>
          <w:bottom w:val="nil"/>
          <w:right w:val="nil"/>
          <w:between w:val="nil"/>
        </w:pBdr>
        <w:spacing w:line="240" w:lineRule="auto"/>
        <w:ind w:left="264" w:hanging="264"/>
        <w:rPr>
          <w:b/>
        </w:rPr>
      </w:pPr>
      <w:hyperlink r:id="rId94">
        <w:r>
          <w:t>19</w:t>
        </w:r>
        <w:r>
          <w:tab/>
          <w:t xml:space="preserve">Hadfield J, </w:t>
        </w:r>
        <w:proofErr w:type="spellStart"/>
        <w:r>
          <w:t>Megill</w:t>
        </w:r>
        <w:proofErr w:type="spellEnd"/>
        <w:r>
          <w:t xml:space="preserve"> C, Bell SM, </w:t>
        </w:r>
      </w:hyperlink>
      <w:hyperlink r:id="rId95">
        <w:r>
          <w:rPr>
            <w:i/>
          </w:rPr>
          <w:t>et al.</w:t>
        </w:r>
      </w:hyperlink>
      <w:hyperlink r:id="rId96">
        <w:r>
          <w:t xml:space="preserve"> </w:t>
        </w:r>
        <w:proofErr w:type="spellStart"/>
        <w:r>
          <w:t>Next</w:t>
        </w:r>
        <w:r>
          <w:t>strain</w:t>
        </w:r>
        <w:proofErr w:type="spellEnd"/>
        <w:r>
          <w:t xml:space="preserve">: real-time tracking of pathogen evolution. </w:t>
        </w:r>
      </w:hyperlink>
      <w:hyperlink r:id="rId97">
        <w:r>
          <w:rPr>
            <w:i/>
          </w:rPr>
          <w:t>Bioinformatics</w:t>
        </w:r>
      </w:hyperlink>
      <w:hyperlink r:id="rId98">
        <w:r>
          <w:t xml:space="preserve"> 2018; </w:t>
        </w:r>
      </w:hyperlink>
      <w:hyperlink r:id="rId99">
        <w:r>
          <w:rPr>
            <w:b/>
          </w:rPr>
          <w:t>34</w:t>
        </w:r>
      </w:hyperlink>
      <w:hyperlink r:id="rId100">
        <w:r>
          <w:t>: 4121–3.</w:t>
        </w:r>
      </w:hyperlink>
    </w:p>
    <w:p w14:paraId="2932FF40" w14:textId="77777777" w:rsidR="00CC3B4D" w:rsidRDefault="0092665C">
      <w:pPr>
        <w:widowControl w:val="0"/>
        <w:pBdr>
          <w:top w:val="nil"/>
          <w:left w:val="nil"/>
          <w:bottom w:val="nil"/>
          <w:right w:val="nil"/>
          <w:between w:val="nil"/>
        </w:pBdr>
        <w:spacing w:line="240" w:lineRule="auto"/>
        <w:ind w:left="264" w:hanging="264"/>
        <w:rPr>
          <w:b/>
        </w:rPr>
      </w:pPr>
      <w:hyperlink r:id="rId101">
        <w:r>
          <w:t>20</w:t>
        </w:r>
        <w:r>
          <w:tab/>
          <w:t>Krispin R, Byrnes J. coronavirus R package. 2021 https://​github.com/​RamiKrispin/​coronavirus/​.</w:t>
        </w:r>
      </w:hyperlink>
    </w:p>
    <w:p w14:paraId="24771597" w14:textId="77777777" w:rsidR="00CC3B4D" w:rsidRDefault="0092665C">
      <w:pPr>
        <w:widowControl w:val="0"/>
        <w:pBdr>
          <w:top w:val="nil"/>
          <w:left w:val="nil"/>
          <w:bottom w:val="nil"/>
          <w:right w:val="nil"/>
          <w:between w:val="nil"/>
        </w:pBdr>
        <w:spacing w:line="240" w:lineRule="auto"/>
        <w:ind w:left="264" w:hanging="264"/>
        <w:rPr>
          <w:b/>
        </w:rPr>
      </w:pPr>
      <w:hyperlink r:id="rId102">
        <w:r>
          <w:t>21</w:t>
        </w:r>
        <w:r>
          <w:tab/>
          <w:t>Gassen J. tidycovid19. 2020 https://github.com/joachim-gassen/tidycovid19.</w:t>
        </w:r>
      </w:hyperlink>
    </w:p>
    <w:p w14:paraId="07840572" w14:textId="77777777" w:rsidR="00CC3B4D" w:rsidRDefault="0092665C">
      <w:pPr>
        <w:widowControl w:val="0"/>
        <w:pBdr>
          <w:top w:val="nil"/>
          <w:left w:val="nil"/>
          <w:bottom w:val="nil"/>
          <w:right w:val="nil"/>
          <w:between w:val="nil"/>
        </w:pBdr>
        <w:spacing w:line="240" w:lineRule="auto"/>
        <w:ind w:left="264" w:hanging="264"/>
        <w:rPr>
          <w:b/>
        </w:rPr>
      </w:pPr>
      <w:hyperlink r:id="rId103">
        <w:r>
          <w:t>22</w:t>
        </w:r>
        <w:r>
          <w:tab/>
          <w:t>R Core Team. R: A language and environment for statistical computing.</w:t>
        </w:r>
        <w:r>
          <w:t xml:space="preserve"> Vienna, Austria: R Foundation for Statistical Computing, 2020 https://www.R-project.org/.</w:t>
        </w:r>
      </w:hyperlink>
    </w:p>
    <w:p w14:paraId="6ED193BE" w14:textId="77777777" w:rsidR="00CC3B4D" w:rsidRDefault="0092665C">
      <w:pPr>
        <w:widowControl w:val="0"/>
        <w:pBdr>
          <w:top w:val="nil"/>
          <w:left w:val="nil"/>
          <w:bottom w:val="nil"/>
          <w:right w:val="nil"/>
          <w:between w:val="nil"/>
        </w:pBdr>
        <w:spacing w:line="240" w:lineRule="auto"/>
        <w:ind w:left="264" w:hanging="264"/>
        <w:rPr>
          <w:b/>
        </w:rPr>
      </w:pPr>
      <w:hyperlink r:id="rId104">
        <w:r>
          <w:t>23</w:t>
        </w:r>
        <w:r>
          <w:tab/>
          <w:t xml:space="preserve">Cori A, Ferguson NM, Fraser C, </w:t>
        </w:r>
        <w:proofErr w:type="spellStart"/>
        <w:r>
          <w:t>Cauchemez</w:t>
        </w:r>
        <w:proofErr w:type="spellEnd"/>
        <w:r>
          <w:t xml:space="preserve"> S. A New Framework and Software to Estimate Time-Varying Re</w:t>
        </w:r>
        <w:r>
          <w:t xml:space="preserve">production Numbers During Epidemics. </w:t>
        </w:r>
      </w:hyperlink>
      <w:hyperlink r:id="rId105">
        <w:r>
          <w:rPr>
            <w:i/>
          </w:rPr>
          <w:t>Am J Epidemiol</w:t>
        </w:r>
      </w:hyperlink>
      <w:hyperlink r:id="rId106">
        <w:r>
          <w:t xml:space="preserve"> 2013; </w:t>
        </w:r>
      </w:hyperlink>
      <w:hyperlink r:id="rId107">
        <w:r>
          <w:rPr>
            <w:b/>
          </w:rPr>
          <w:t>178</w:t>
        </w:r>
      </w:hyperlink>
      <w:hyperlink r:id="rId108">
        <w:r>
          <w:t>: 1505–12.</w:t>
        </w:r>
      </w:hyperlink>
    </w:p>
    <w:p w14:paraId="084F1A2E" w14:textId="77777777" w:rsidR="00CC3B4D" w:rsidRDefault="00CC3B4D">
      <w:pPr>
        <w:rPr>
          <w:i/>
        </w:rPr>
      </w:pPr>
    </w:p>
    <w:p w14:paraId="5DABFFC5" w14:textId="77777777" w:rsidR="00CC3B4D" w:rsidRDefault="0092665C">
      <w:r>
        <w:rPr>
          <w:b/>
        </w:rPr>
        <w:t xml:space="preserve">Authors: </w:t>
      </w:r>
      <w:r>
        <w:t xml:space="preserve">UN Interagency Support Team (Eric Brum - FAO, Nabila </w:t>
      </w:r>
      <w:proofErr w:type="spellStart"/>
      <w:r>
        <w:t>Purno</w:t>
      </w:r>
      <w:proofErr w:type="spellEnd"/>
      <w:r>
        <w:t xml:space="preserve"> - UNFPA), FAO (</w:t>
      </w:r>
      <w:proofErr w:type="spellStart"/>
      <w:r>
        <w:t>Motahara</w:t>
      </w:r>
      <w:proofErr w:type="spellEnd"/>
      <w:r>
        <w:t xml:space="preserve"> Tasneem); Child Health Research Foundation (</w:t>
      </w:r>
      <w:proofErr w:type="spellStart"/>
      <w:r>
        <w:t>Senjuti</w:t>
      </w:r>
      <w:proofErr w:type="spellEnd"/>
      <w:r>
        <w:t xml:space="preserve"> </w:t>
      </w:r>
      <w:proofErr w:type="spellStart"/>
      <w:r>
        <w:t>Saha</w:t>
      </w:r>
      <w:proofErr w:type="spellEnd"/>
      <w:r>
        <w:t xml:space="preserve">, </w:t>
      </w:r>
      <w:proofErr w:type="spellStart"/>
      <w:r>
        <w:t>Arif</w:t>
      </w:r>
      <w:proofErr w:type="spellEnd"/>
      <w:r>
        <w:t xml:space="preserve"> Md. Tanmoy, Yogesh </w:t>
      </w:r>
      <w:proofErr w:type="spellStart"/>
      <w:r>
        <w:t>Hooda</w:t>
      </w:r>
      <w:proofErr w:type="spellEnd"/>
      <w:r>
        <w:t xml:space="preserve">, </w:t>
      </w:r>
      <w:proofErr w:type="spellStart"/>
      <w:r>
        <w:t>Afroza</w:t>
      </w:r>
      <w:proofErr w:type="spellEnd"/>
      <w:r>
        <w:t xml:space="preserve"> </w:t>
      </w:r>
      <w:proofErr w:type="spellStart"/>
      <w:r>
        <w:t>Tanni</w:t>
      </w:r>
      <w:proofErr w:type="spellEnd"/>
      <w:r>
        <w:t xml:space="preserve">, </w:t>
      </w:r>
      <w:proofErr w:type="spellStart"/>
      <w:r>
        <w:t>Sharmistha</w:t>
      </w:r>
      <w:proofErr w:type="spellEnd"/>
      <w:r>
        <w:t xml:space="preserve"> Goswami, Syed </w:t>
      </w:r>
      <w:proofErr w:type="spellStart"/>
      <w:r>
        <w:t>Muktadir</w:t>
      </w:r>
      <w:proofErr w:type="spellEnd"/>
      <w:r>
        <w:t xml:space="preserve"> Al Sium, Md. Saiful Islam </w:t>
      </w:r>
      <w:proofErr w:type="spellStart"/>
      <w:r>
        <w:t>Sajib</w:t>
      </w:r>
      <w:proofErr w:type="spellEnd"/>
      <w:r>
        <w:t xml:space="preserve">, </w:t>
      </w:r>
      <w:proofErr w:type="spellStart"/>
      <w:r>
        <w:t>Roly</w:t>
      </w:r>
      <w:proofErr w:type="spellEnd"/>
      <w:r>
        <w:t xml:space="preserve"> </w:t>
      </w:r>
      <w:proofErr w:type="spellStart"/>
      <w:r>
        <w:t>Malaker</w:t>
      </w:r>
      <w:proofErr w:type="spellEnd"/>
      <w:r>
        <w:t xml:space="preserve">, </w:t>
      </w:r>
      <w:proofErr w:type="spellStart"/>
      <w:r>
        <w:t>Shuborno</w:t>
      </w:r>
      <w:proofErr w:type="spellEnd"/>
      <w:r>
        <w:t xml:space="preserve"> Islam, </w:t>
      </w:r>
      <w:proofErr w:type="spellStart"/>
      <w:r>
        <w:t>Nikkon</w:t>
      </w:r>
      <w:proofErr w:type="spellEnd"/>
      <w:r>
        <w:t xml:space="preserve"> Sarkar, Samir K </w:t>
      </w:r>
      <w:proofErr w:type="spellStart"/>
      <w:r>
        <w:t>Saha</w:t>
      </w:r>
      <w:proofErr w:type="spellEnd"/>
      <w:r>
        <w:t xml:space="preserve">, </w:t>
      </w:r>
      <w:proofErr w:type="spellStart"/>
      <w:r>
        <w:t>Shuborna</w:t>
      </w:r>
      <w:proofErr w:type="spellEnd"/>
      <w:r>
        <w:t xml:space="preserve"> Islam); </w:t>
      </w:r>
      <w:proofErr w:type="spellStart"/>
      <w:r>
        <w:t>icddr,b</w:t>
      </w:r>
      <w:proofErr w:type="spellEnd"/>
      <w:r>
        <w:t xml:space="preserve"> (Shams El </w:t>
      </w:r>
      <w:proofErr w:type="spellStart"/>
      <w:r>
        <w:t>Arifeen</w:t>
      </w:r>
      <w:proofErr w:type="spellEnd"/>
      <w:r>
        <w:t>), Columbia University (Ayesha Sania), a2i (</w:t>
      </w:r>
      <w:proofErr w:type="spellStart"/>
      <w:r>
        <w:t>Ani</w:t>
      </w:r>
      <w:r>
        <w:t>r</w:t>
      </w:r>
      <w:proofErr w:type="spellEnd"/>
      <w:r>
        <w:t xml:space="preserve"> Chowdhury, </w:t>
      </w:r>
      <w:proofErr w:type="spellStart"/>
      <w:r>
        <w:t>Shayan</w:t>
      </w:r>
      <w:proofErr w:type="spellEnd"/>
      <w:r>
        <w:t xml:space="preserve"> Chowdhury), IEDCR (ASM Alamgir), </w:t>
      </w:r>
      <w:proofErr w:type="spellStart"/>
      <w:r>
        <w:t>UoG</w:t>
      </w:r>
      <w:proofErr w:type="spellEnd"/>
      <w:r>
        <w:t xml:space="preserve"> Covid LMICs SIG (Elaine A Ferguson, </w:t>
      </w:r>
      <w:proofErr w:type="spellStart"/>
      <w:r>
        <w:t>Yacob</w:t>
      </w:r>
      <w:proofErr w:type="spellEnd"/>
      <w:r>
        <w:t xml:space="preserve"> </w:t>
      </w:r>
      <w:proofErr w:type="spellStart"/>
      <w:r>
        <w:t>Haddou</w:t>
      </w:r>
      <w:proofErr w:type="spellEnd"/>
      <w:r>
        <w:t xml:space="preserve">, </w:t>
      </w:r>
      <w:proofErr w:type="spellStart"/>
      <w:r>
        <w:t>Mikolaj</w:t>
      </w:r>
      <w:proofErr w:type="spellEnd"/>
      <w:r>
        <w:t xml:space="preserve"> </w:t>
      </w:r>
      <w:proofErr w:type="spellStart"/>
      <w:r>
        <w:t>Kundegorski</w:t>
      </w:r>
      <w:proofErr w:type="spellEnd"/>
      <w:r>
        <w:t>, Katie Hampson)</w:t>
      </w:r>
    </w:p>
    <w:p w14:paraId="2A801716" w14:textId="77777777" w:rsidR="00CC3B4D" w:rsidRDefault="00CC3B4D">
      <w:pPr>
        <w:rPr>
          <w:color w:val="FF0000"/>
        </w:rPr>
      </w:pPr>
    </w:p>
    <w:p w14:paraId="0F027DC3" w14:textId="77777777" w:rsidR="00CC3B4D" w:rsidRPr="00743C8D" w:rsidRDefault="0092665C">
      <w:r w:rsidRPr="00743C8D">
        <w:rPr>
          <w:b/>
        </w:rPr>
        <w:t xml:space="preserve">Funding: </w:t>
      </w:r>
      <w:r w:rsidRPr="00743C8D">
        <w:t>The Bill and Melinda Gates Foundation funded work by FAO (INV-022851) and CHRF (</w:t>
      </w:r>
      <w:r w:rsidRPr="00743C8D">
        <w:rPr>
          <w:highlight w:val="white"/>
        </w:rPr>
        <w:t>INV-016932, INV-023821</w:t>
      </w:r>
      <w:r w:rsidRPr="00743C8D">
        <w:t>)</w:t>
      </w:r>
      <w:r w:rsidRPr="00743C8D">
        <w:t xml:space="preserve"> and </w:t>
      </w:r>
      <w:proofErr w:type="spellStart"/>
      <w:r w:rsidRPr="00743C8D">
        <w:t>UoG</w:t>
      </w:r>
      <w:proofErr w:type="spellEnd"/>
      <w:r w:rsidRPr="00743C8D">
        <w:t xml:space="preserve"> reports funding from </w:t>
      </w:r>
      <w:proofErr w:type="spellStart"/>
      <w:r w:rsidRPr="00743C8D">
        <w:t>Wellcome</w:t>
      </w:r>
      <w:proofErr w:type="spellEnd"/>
      <w:r w:rsidRPr="00743C8D">
        <w:t xml:space="preserve"> (095787/Z/11/Z). The authors declare no competing interests.</w:t>
      </w:r>
    </w:p>
    <w:p w14:paraId="6D9F625A" w14:textId="77777777" w:rsidR="00CC3B4D" w:rsidRPr="00743C8D" w:rsidRDefault="00CC3B4D"/>
    <w:p w14:paraId="0BA86FE7" w14:textId="77777777" w:rsidR="000F752B" w:rsidRPr="00743C8D" w:rsidRDefault="0092665C" w:rsidP="000F752B">
      <w:pPr>
        <w:pStyle w:val="NormalWeb"/>
        <w:spacing w:before="0" w:beforeAutospacing="0" w:after="0" w:afterAutospacing="0"/>
        <w:rPr>
          <w:rFonts w:ascii="Arial" w:hAnsi="Arial" w:cs="Arial"/>
          <w:sz w:val="22"/>
          <w:szCs w:val="22"/>
        </w:rPr>
      </w:pPr>
      <w:r w:rsidRPr="00743C8D">
        <w:rPr>
          <w:rFonts w:ascii="Arial" w:hAnsi="Arial" w:cs="Arial"/>
          <w:b/>
          <w:sz w:val="22"/>
          <w:szCs w:val="22"/>
        </w:rPr>
        <w:t xml:space="preserve">Acknowledgements: </w:t>
      </w:r>
      <w:r w:rsidR="000F752B" w:rsidRPr="00743C8D">
        <w:rPr>
          <w:rFonts w:ascii="Arial" w:hAnsi="Arial" w:cs="Arial"/>
          <w:color w:val="000000"/>
          <w:sz w:val="22"/>
          <w:szCs w:val="22"/>
        </w:rPr>
        <w:t xml:space="preserve">The authors thank the Directorate General of Health Services (DGHS), Bangladesh, and the Institute of Epidemiology Disease Control and Research (IEDCR) for ongoing SAR-CoV-2 surveillance and prevention measures. We are grateful to the University of Glasgow LMICs COVID-19 working group (members detailed in </w:t>
      </w:r>
      <w:hyperlink r:id="rId109" w:history="1">
        <w:r w:rsidR="000F752B" w:rsidRPr="00743C8D">
          <w:rPr>
            <w:rFonts w:ascii="Arial" w:hAnsi="Arial" w:cs="Arial"/>
            <w:color w:val="1155CC"/>
            <w:sz w:val="22"/>
            <w:szCs w:val="22"/>
            <w:u w:val="single"/>
          </w:rPr>
          <w:t>github.com/</w:t>
        </w:r>
        <w:proofErr w:type="spellStart"/>
        <w:r w:rsidR="000F752B" w:rsidRPr="00743C8D">
          <w:rPr>
            <w:rFonts w:ascii="Arial" w:hAnsi="Arial" w:cs="Arial"/>
            <w:color w:val="1155CC"/>
            <w:sz w:val="22"/>
            <w:szCs w:val="22"/>
            <w:u w:val="single"/>
          </w:rPr>
          <w:t>boydorr</w:t>
        </w:r>
        <w:proofErr w:type="spellEnd"/>
        <w:r w:rsidR="000F752B" w:rsidRPr="00743C8D">
          <w:rPr>
            <w:rFonts w:ascii="Arial" w:hAnsi="Arial" w:cs="Arial"/>
            <w:color w:val="1155CC"/>
            <w:sz w:val="22"/>
            <w:szCs w:val="22"/>
            <w:u w:val="single"/>
          </w:rPr>
          <w:t>/BGD_Covid-19</w:t>
        </w:r>
      </w:hyperlink>
      <w:r w:rsidR="000F752B" w:rsidRPr="00743C8D">
        <w:rPr>
          <w:rFonts w:ascii="Arial" w:hAnsi="Arial" w:cs="Arial"/>
          <w:color w:val="000000"/>
          <w:sz w:val="22"/>
          <w:szCs w:val="22"/>
        </w:rPr>
        <w:t>) and Jessica Metcalf both valuable feedback and discussion.</w:t>
      </w:r>
    </w:p>
    <w:p w14:paraId="3A364F73" w14:textId="77777777" w:rsidR="00CC3B4D" w:rsidRPr="00743C8D" w:rsidRDefault="00CC3B4D"/>
    <w:p w14:paraId="2014E6B7" w14:textId="0907F00C" w:rsidR="00CC3B4D" w:rsidRPr="000F752B" w:rsidRDefault="0092665C">
      <w:r w:rsidRPr="00743C8D">
        <w:rPr>
          <w:b/>
        </w:rPr>
        <w:t xml:space="preserve">Author contributions: </w:t>
      </w:r>
      <w:r w:rsidRPr="00743C8D">
        <w:t>EB, NP, AS, SEA, KH - writing; SS, AT, MT, AT, SG, MSIS, SI, NS, MK, SEA, SC - data</w:t>
      </w:r>
      <w:r>
        <w:t xml:space="preserve"> collection; EAF, KH, MK, YH - analysis; YH - visualization; SS, AS, SEA, SKS, AC, SC, EB, MT</w:t>
      </w:r>
      <w:r>
        <w:t>, ASMA - Investigation; EB, KH, EAF, AS, SEA, SS, AT, YH, AT, SG, SMAS, MSIS, RM, SI, SKS, SC, AC - Interpretation</w:t>
      </w:r>
    </w:p>
    <w:sectPr w:rsidR="00CC3B4D" w:rsidRPr="000F752B">
      <w:footerReference w:type="default" r:id="rId11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8C470" w14:textId="77777777" w:rsidR="0092665C" w:rsidRDefault="0092665C">
      <w:pPr>
        <w:spacing w:line="240" w:lineRule="auto"/>
      </w:pPr>
      <w:r>
        <w:separator/>
      </w:r>
    </w:p>
  </w:endnote>
  <w:endnote w:type="continuationSeparator" w:id="0">
    <w:p w14:paraId="0F5C1EA2" w14:textId="77777777" w:rsidR="0092665C" w:rsidRDefault="009266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21C95" w14:textId="77777777" w:rsidR="00CC3B4D" w:rsidRDefault="0092665C">
    <w:pPr>
      <w:jc w:val="right"/>
    </w:pPr>
    <w:r>
      <w:fldChar w:fldCharType="begin"/>
    </w:r>
    <w:r>
      <w:instrText>PAGE</w:instrText>
    </w:r>
    <w:r>
      <w:fldChar w:fldCharType="separate"/>
    </w:r>
    <w:r w:rsidR="0084540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187EF" w14:textId="77777777" w:rsidR="0092665C" w:rsidRDefault="0092665C">
      <w:pPr>
        <w:spacing w:line="240" w:lineRule="auto"/>
      </w:pPr>
      <w:r>
        <w:separator/>
      </w:r>
    </w:p>
  </w:footnote>
  <w:footnote w:type="continuationSeparator" w:id="0">
    <w:p w14:paraId="30170310" w14:textId="77777777" w:rsidR="0092665C" w:rsidRDefault="0092665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B4D"/>
    <w:rsid w:val="000F752B"/>
    <w:rsid w:val="00743C8D"/>
    <w:rsid w:val="00845408"/>
    <w:rsid w:val="0092665C"/>
    <w:rsid w:val="00CC3B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2DF485"/>
  <w15:docId w15:val="{C1674520-0B5B-274E-A4D2-76098219C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0F752B"/>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Hyperlink">
    <w:name w:val="Hyperlink"/>
    <w:basedOn w:val="DefaultParagraphFont"/>
    <w:uiPriority w:val="99"/>
    <w:semiHidden/>
    <w:unhideWhenUsed/>
    <w:rsid w:val="000F75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234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PzhoAS" TargetMode="External"/><Relationship Id="rId21" Type="http://schemas.openxmlformats.org/officeDocument/2006/relationships/hyperlink" Target="https://www.zotero.org/google-docs/?8jTeKZ" TargetMode="External"/><Relationship Id="rId42" Type="http://schemas.openxmlformats.org/officeDocument/2006/relationships/hyperlink" Target="https://www.zotero.org/google-docs/?OkItKs" TargetMode="External"/><Relationship Id="rId47" Type="http://schemas.openxmlformats.org/officeDocument/2006/relationships/hyperlink" Target="https://www.zotero.org/google-docs/?OkItKs" TargetMode="External"/><Relationship Id="rId63" Type="http://schemas.openxmlformats.org/officeDocument/2006/relationships/hyperlink" Target="https://www.zotero.org/google-docs/?OkItKs" TargetMode="External"/><Relationship Id="rId68" Type="http://schemas.openxmlformats.org/officeDocument/2006/relationships/hyperlink" Target="https://www.zotero.org/google-docs/?OkItKs" TargetMode="External"/><Relationship Id="rId84" Type="http://schemas.openxmlformats.org/officeDocument/2006/relationships/hyperlink" Target="https://www.zotero.org/google-docs/?OkItKs" TargetMode="External"/><Relationship Id="rId89" Type="http://schemas.openxmlformats.org/officeDocument/2006/relationships/hyperlink" Target="https://www.zotero.org/google-docs/?OkItKs" TargetMode="External"/><Relationship Id="rId112" Type="http://schemas.openxmlformats.org/officeDocument/2006/relationships/theme" Target="theme/theme1.xml"/><Relationship Id="rId16" Type="http://schemas.openxmlformats.org/officeDocument/2006/relationships/hyperlink" Target="https://www.zotero.org/google-docs/?0XtqSK" TargetMode="External"/><Relationship Id="rId107" Type="http://schemas.openxmlformats.org/officeDocument/2006/relationships/hyperlink" Target="https://www.zotero.org/google-docs/?OkItKs" TargetMode="External"/><Relationship Id="rId11" Type="http://schemas.openxmlformats.org/officeDocument/2006/relationships/hyperlink" Target="https://www.zotero.org/google-docs/?FeBC9P" TargetMode="External"/><Relationship Id="rId32" Type="http://schemas.openxmlformats.org/officeDocument/2006/relationships/hyperlink" Target="https://www.zotero.org/google-docs/?G9w1VA" TargetMode="External"/><Relationship Id="rId37" Type="http://schemas.openxmlformats.org/officeDocument/2006/relationships/hyperlink" Target="https://github.com/boydorr/BGD_Covid-19" TargetMode="External"/><Relationship Id="rId53" Type="http://schemas.openxmlformats.org/officeDocument/2006/relationships/hyperlink" Target="https://www.zotero.org/google-docs/?OkItKs" TargetMode="External"/><Relationship Id="rId58" Type="http://schemas.openxmlformats.org/officeDocument/2006/relationships/hyperlink" Target="https://www.zotero.org/google-docs/?OkItKs" TargetMode="External"/><Relationship Id="rId74" Type="http://schemas.openxmlformats.org/officeDocument/2006/relationships/hyperlink" Target="https://www.zotero.org/google-docs/?OkItKs" TargetMode="External"/><Relationship Id="rId79" Type="http://schemas.openxmlformats.org/officeDocument/2006/relationships/hyperlink" Target="https://www.zotero.org/google-docs/?OkItKs" TargetMode="External"/><Relationship Id="rId102" Type="http://schemas.openxmlformats.org/officeDocument/2006/relationships/hyperlink" Target="https://www.zotero.org/google-docs/?OkItKs" TargetMode="External"/><Relationship Id="rId5" Type="http://schemas.openxmlformats.org/officeDocument/2006/relationships/endnotes" Target="endnotes.xml"/><Relationship Id="rId90" Type="http://schemas.openxmlformats.org/officeDocument/2006/relationships/hyperlink" Target="https://www.zotero.org/google-docs/?OkItKs" TargetMode="External"/><Relationship Id="rId95" Type="http://schemas.openxmlformats.org/officeDocument/2006/relationships/hyperlink" Target="https://www.zotero.org/google-docs/?OkItKs" TargetMode="External"/><Relationship Id="rId22" Type="http://schemas.openxmlformats.org/officeDocument/2006/relationships/hyperlink" Target="https://www.zotero.org/google-docs/?vv09mD" TargetMode="External"/><Relationship Id="rId27" Type="http://schemas.openxmlformats.org/officeDocument/2006/relationships/hyperlink" Target="https://www.zotero.org/google-docs/?nHKyfE" TargetMode="External"/><Relationship Id="rId43" Type="http://schemas.openxmlformats.org/officeDocument/2006/relationships/hyperlink" Target="https://www.zotero.org/google-docs/?OkItKs" TargetMode="External"/><Relationship Id="rId48" Type="http://schemas.openxmlformats.org/officeDocument/2006/relationships/hyperlink" Target="https://www.zotero.org/google-docs/?OkItKs" TargetMode="External"/><Relationship Id="rId64" Type="http://schemas.openxmlformats.org/officeDocument/2006/relationships/hyperlink" Target="https://www.zotero.org/google-docs/?OkItKs" TargetMode="External"/><Relationship Id="rId69" Type="http://schemas.openxmlformats.org/officeDocument/2006/relationships/hyperlink" Target="https://www.zotero.org/google-docs/?OkItKs" TargetMode="External"/><Relationship Id="rId80" Type="http://schemas.openxmlformats.org/officeDocument/2006/relationships/hyperlink" Target="https://www.zotero.org/google-docs/?OkItKs" TargetMode="External"/><Relationship Id="rId85" Type="http://schemas.openxmlformats.org/officeDocument/2006/relationships/hyperlink" Target="https://www.zotero.org/google-docs/?OkItKs" TargetMode="External"/><Relationship Id="rId12" Type="http://schemas.openxmlformats.org/officeDocument/2006/relationships/hyperlink" Target="https://www.zotero.org/google-docs/?bajIHh" TargetMode="External"/><Relationship Id="rId17" Type="http://schemas.openxmlformats.org/officeDocument/2006/relationships/hyperlink" Target="https://www.zotero.org/google-docs/?LjfUJO" TargetMode="External"/><Relationship Id="rId33" Type="http://schemas.openxmlformats.org/officeDocument/2006/relationships/hyperlink" Target="https://www.zotero.org/google-docs/?p7cdOd" TargetMode="External"/><Relationship Id="rId38" Type="http://schemas.openxmlformats.org/officeDocument/2006/relationships/hyperlink" Target="https://www.zotero.org/google-docs/?OkItKs" TargetMode="External"/><Relationship Id="rId59" Type="http://schemas.openxmlformats.org/officeDocument/2006/relationships/hyperlink" Target="https://www.zotero.org/google-docs/?OkItKs" TargetMode="External"/><Relationship Id="rId103" Type="http://schemas.openxmlformats.org/officeDocument/2006/relationships/hyperlink" Target="https://www.zotero.org/google-docs/?OkItKs" TargetMode="External"/><Relationship Id="rId108" Type="http://schemas.openxmlformats.org/officeDocument/2006/relationships/hyperlink" Target="https://www.zotero.org/google-docs/?OkItKs" TargetMode="External"/><Relationship Id="rId54" Type="http://schemas.openxmlformats.org/officeDocument/2006/relationships/hyperlink" Target="https://www.zotero.org/google-docs/?OkItKs" TargetMode="External"/><Relationship Id="rId70" Type="http://schemas.openxmlformats.org/officeDocument/2006/relationships/hyperlink" Target="https://www.zotero.org/google-docs/?OkItKs" TargetMode="External"/><Relationship Id="rId75" Type="http://schemas.openxmlformats.org/officeDocument/2006/relationships/hyperlink" Target="https://www.zotero.org/google-docs/?OkItKs" TargetMode="External"/><Relationship Id="rId91" Type="http://schemas.openxmlformats.org/officeDocument/2006/relationships/hyperlink" Target="https://www.zotero.org/google-docs/?OkItKs" TargetMode="External"/><Relationship Id="rId96" Type="http://schemas.openxmlformats.org/officeDocument/2006/relationships/hyperlink" Target="https://www.zotero.org/google-docs/?OkItKs" TargetMode="External"/><Relationship Id="rId1" Type="http://schemas.openxmlformats.org/officeDocument/2006/relationships/styles" Target="styles.xml"/><Relationship Id="rId6" Type="http://schemas.openxmlformats.org/officeDocument/2006/relationships/hyperlink" Target="https://www.zotero.org/google-docs/?8eyXRN" TargetMode="External"/><Relationship Id="rId15" Type="http://schemas.openxmlformats.org/officeDocument/2006/relationships/hyperlink" Target="https://www.zotero.org/google-docs/?gbuuQi" TargetMode="External"/><Relationship Id="rId23" Type="http://schemas.openxmlformats.org/officeDocument/2006/relationships/hyperlink" Target="https://www.zotero.org/google-docs/?ea0NCu" TargetMode="External"/><Relationship Id="rId28" Type="http://schemas.openxmlformats.org/officeDocument/2006/relationships/hyperlink" Target="https://www.zotero.org/google-docs/?KiH786" TargetMode="External"/><Relationship Id="rId36" Type="http://schemas.openxmlformats.org/officeDocument/2006/relationships/hyperlink" Target="https://www.zotero.org/google-docs/?965H6o" TargetMode="External"/><Relationship Id="rId49" Type="http://schemas.openxmlformats.org/officeDocument/2006/relationships/hyperlink" Target="https://www.zotero.org/google-docs/?OkItKs" TargetMode="External"/><Relationship Id="rId57" Type="http://schemas.openxmlformats.org/officeDocument/2006/relationships/hyperlink" Target="https://www.zotero.org/google-docs/?OkItKs" TargetMode="External"/><Relationship Id="rId106" Type="http://schemas.openxmlformats.org/officeDocument/2006/relationships/hyperlink" Target="https://www.zotero.org/google-docs/?OkItKs" TargetMode="External"/><Relationship Id="rId10" Type="http://schemas.openxmlformats.org/officeDocument/2006/relationships/image" Target="media/image1.png"/><Relationship Id="rId31" Type="http://schemas.openxmlformats.org/officeDocument/2006/relationships/hyperlink" Target="https://www.zotero.org/google-docs/?CXkzNC" TargetMode="External"/><Relationship Id="rId44" Type="http://schemas.openxmlformats.org/officeDocument/2006/relationships/hyperlink" Target="https://www.zotero.org/google-docs/?OkItKs" TargetMode="External"/><Relationship Id="rId52" Type="http://schemas.openxmlformats.org/officeDocument/2006/relationships/hyperlink" Target="https://www.zotero.org/google-docs/?OkItKs" TargetMode="External"/><Relationship Id="rId60" Type="http://schemas.openxmlformats.org/officeDocument/2006/relationships/hyperlink" Target="https://www.zotero.org/google-docs/?OkItKs" TargetMode="External"/><Relationship Id="rId65" Type="http://schemas.openxmlformats.org/officeDocument/2006/relationships/hyperlink" Target="https://www.zotero.org/google-docs/?OkItKs" TargetMode="External"/><Relationship Id="rId73" Type="http://schemas.openxmlformats.org/officeDocument/2006/relationships/hyperlink" Target="https://www.zotero.org/google-docs/?OkItKs" TargetMode="External"/><Relationship Id="rId78" Type="http://schemas.openxmlformats.org/officeDocument/2006/relationships/hyperlink" Target="https://www.zotero.org/google-docs/?OkItKs" TargetMode="External"/><Relationship Id="rId81" Type="http://schemas.openxmlformats.org/officeDocument/2006/relationships/hyperlink" Target="https://www.zotero.org/google-docs/?OkItKs" TargetMode="External"/><Relationship Id="rId86" Type="http://schemas.openxmlformats.org/officeDocument/2006/relationships/hyperlink" Target="https://www.zotero.org/google-docs/?OkItKs" TargetMode="External"/><Relationship Id="rId94" Type="http://schemas.openxmlformats.org/officeDocument/2006/relationships/hyperlink" Target="https://www.zotero.org/google-docs/?OkItKs" TargetMode="External"/><Relationship Id="rId99" Type="http://schemas.openxmlformats.org/officeDocument/2006/relationships/hyperlink" Target="https://www.zotero.org/google-docs/?OkItKs" TargetMode="External"/><Relationship Id="rId101" Type="http://schemas.openxmlformats.org/officeDocument/2006/relationships/hyperlink" Target="https://www.zotero.org/google-docs/?OkItKs" TargetMode="External"/><Relationship Id="rId4" Type="http://schemas.openxmlformats.org/officeDocument/2006/relationships/footnotes" Target="footnotes.xml"/><Relationship Id="rId9" Type="http://schemas.openxmlformats.org/officeDocument/2006/relationships/hyperlink" Target="https://www.zotero.org/google-docs/?oZFT5n" TargetMode="External"/><Relationship Id="rId13" Type="http://schemas.openxmlformats.org/officeDocument/2006/relationships/hyperlink" Target="https://www.zotero.org/google-docs/?3ysMSg" TargetMode="External"/><Relationship Id="rId18" Type="http://schemas.openxmlformats.org/officeDocument/2006/relationships/hyperlink" Target="https://www.zotero.org/google-docs/?nZzNdD" TargetMode="External"/><Relationship Id="rId39" Type="http://schemas.openxmlformats.org/officeDocument/2006/relationships/hyperlink" Target="https://www.zotero.org/google-docs/?OkItKs" TargetMode="External"/><Relationship Id="rId109" Type="http://schemas.openxmlformats.org/officeDocument/2006/relationships/hyperlink" Target="https://github.com/boydorr/BGD_Covid-19" TargetMode="External"/><Relationship Id="rId34" Type="http://schemas.openxmlformats.org/officeDocument/2006/relationships/hyperlink" Target="https://www.zotero.org/google-docs/?K6RTvh" TargetMode="External"/><Relationship Id="rId50" Type="http://schemas.openxmlformats.org/officeDocument/2006/relationships/hyperlink" Target="https://www.zotero.org/google-docs/?OkItKs" TargetMode="External"/><Relationship Id="rId55" Type="http://schemas.openxmlformats.org/officeDocument/2006/relationships/hyperlink" Target="https://www.zotero.org/google-docs/?OkItKs" TargetMode="External"/><Relationship Id="rId76" Type="http://schemas.openxmlformats.org/officeDocument/2006/relationships/hyperlink" Target="https://www.zotero.org/google-docs/?OkItKs" TargetMode="External"/><Relationship Id="rId97" Type="http://schemas.openxmlformats.org/officeDocument/2006/relationships/hyperlink" Target="https://www.zotero.org/google-docs/?OkItKs" TargetMode="External"/><Relationship Id="rId104" Type="http://schemas.openxmlformats.org/officeDocument/2006/relationships/hyperlink" Target="https://www.zotero.org/google-docs/?OkItKs" TargetMode="External"/><Relationship Id="rId7" Type="http://schemas.openxmlformats.org/officeDocument/2006/relationships/hyperlink" Target="https://www.zotero.org/google-docs/?2cVl0h" TargetMode="External"/><Relationship Id="rId71" Type="http://schemas.openxmlformats.org/officeDocument/2006/relationships/hyperlink" Target="https://www.zotero.org/google-docs/?OkItKs" TargetMode="External"/><Relationship Id="rId92" Type="http://schemas.openxmlformats.org/officeDocument/2006/relationships/hyperlink" Target="https://www.zotero.org/google-docs/?OkItKs" TargetMode="External"/><Relationship Id="rId2" Type="http://schemas.openxmlformats.org/officeDocument/2006/relationships/settings" Target="settings.xml"/><Relationship Id="rId29" Type="http://schemas.openxmlformats.org/officeDocument/2006/relationships/hyperlink" Target="https://www.zotero.org/google-docs/?lXWPtu" TargetMode="External"/><Relationship Id="rId24" Type="http://schemas.openxmlformats.org/officeDocument/2006/relationships/hyperlink" Target="https://www.zotero.org/google-docs/?CAHaZA" TargetMode="External"/><Relationship Id="rId40" Type="http://schemas.openxmlformats.org/officeDocument/2006/relationships/hyperlink" Target="https://www.zotero.org/google-docs/?OkItKs" TargetMode="External"/><Relationship Id="rId45" Type="http://schemas.openxmlformats.org/officeDocument/2006/relationships/hyperlink" Target="https://www.zotero.org/google-docs/?OkItKs" TargetMode="External"/><Relationship Id="rId66" Type="http://schemas.openxmlformats.org/officeDocument/2006/relationships/hyperlink" Target="https://www.zotero.org/google-docs/?OkItKs" TargetMode="External"/><Relationship Id="rId87" Type="http://schemas.openxmlformats.org/officeDocument/2006/relationships/hyperlink" Target="https://www.zotero.org/google-docs/?OkItKs" TargetMode="External"/><Relationship Id="rId110" Type="http://schemas.openxmlformats.org/officeDocument/2006/relationships/footer" Target="footer1.xml"/><Relationship Id="rId61" Type="http://schemas.openxmlformats.org/officeDocument/2006/relationships/hyperlink" Target="https://www.zotero.org/google-docs/?OkItKs" TargetMode="External"/><Relationship Id="rId82" Type="http://schemas.openxmlformats.org/officeDocument/2006/relationships/hyperlink" Target="https://www.zotero.org/google-docs/?OkItKs" TargetMode="External"/><Relationship Id="rId19" Type="http://schemas.openxmlformats.org/officeDocument/2006/relationships/hyperlink" Target="https://www.zotero.org/google-docs/?B6PiBb" TargetMode="External"/><Relationship Id="rId14" Type="http://schemas.openxmlformats.org/officeDocument/2006/relationships/hyperlink" Target="https://www.zotero.org/google-docs/?nj3cLI" TargetMode="External"/><Relationship Id="rId30" Type="http://schemas.openxmlformats.org/officeDocument/2006/relationships/hyperlink" Target="https://www.zotero.org/google-docs/?3NC8AQ" TargetMode="External"/><Relationship Id="rId35" Type="http://schemas.openxmlformats.org/officeDocument/2006/relationships/hyperlink" Target="https://www.zotero.org/google-docs/?Ai67CP" TargetMode="External"/><Relationship Id="rId56" Type="http://schemas.openxmlformats.org/officeDocument/2006/relationships/hyperlink" Target="https://www.zotero.org/google-docs/?OkItKs" TargetMode="External"/><Relationship Id="rId77" Type="http://schemas.openxmlformats.org/officeDocument/2006/relationships/hyperlink" Target="https://www.zotero.org/google-docs/?OkItKs" TargetMode="External"/><Relationship Id="rId100" Type="http://schemas.openxmlformats.org/officeDocument/2006/relationships/hyperlink" Target="https://www.zotero.org/google-docs/?OkItKs" TargetMode="External"/><Relationship Id="rId105" Type="http://schemas.openxmlformats.org/officeDocument/2006/relationships/hyperlink" Target="https://www.zotero.org/google-docs/?OkItKs" TargetMode="External"/><Relationship Id="rId8" Type="http://schemas.openxmlformats.org/officeDocument/2006/relationships/hyperlink" Target="https://www.zotero.org/google-docs/?EXODyQ" TargetMode="External"/><Relationship Id="rId51" Type="http://schemas.openxmlformats.org/officeDocument/2006/relationships/hyperlink" Target="https://www.zotero.org/google-docs/?OkItKs" TargetMode="External"/><Relationship Id="rId72" Type="http://schemas.openxmlformats.org/officeDocument/2006/relationships/hyperlink" Target="https://www.zotero.org/google-docs/?OkItKs" TargetMode="External"/><Relationship Id="rId93" Type="http://schemas.openxmlformats.org/officeDocument/2006/relationships/hyperlink" Target="https://www.zotero.org/google-docs/?OkItKs" TargetMode="External"/><Relationship Id="rId98" Type="http://schemas.openxmlformats.org/officeDocument/2006/relationships/hyperlink" Target="https://www.zotero.org/google-docs/?OkItKs" TargetMode="External"/><Relationship Id="rId3" Type="http://schemas.openxmlformats.org/officeDocument/2006/relationships/webSettings" Target="webSettings.xml"/><Relationship Id="rId25" Type="http://schemas.openxmlformats.org/officeDocument/2006/relationships/image" Target="media/image2.png"/><Relationship Id="rId46" Type="http://schemas.openxmlformats.org/officeDocument/2006/relationships/hyperlink" Target="https://www.zotero.org/google-docs/?OkItKs" TargetMode="External"/><Relationship Id="rId67" Type="http://schemas.openxmlformats.org/officeDocument/2006/relationships/hyperlink" Target="https://www.zotero.org/google-docs/?OkItKs" TargetMode="External"/><Relationship Id="rId20" Type="http://schemas.openxmlformats.org/officeDocument/2006/relationships/hyperlink" Target="https://www.zotero.org/google-docs/?xOj3S7" TargetMode="External"/><Relationship Id="rId41" Type="http://schemas.openxmlformats.org/officeDocument/2006/relationships/hyperlink" Target="https://www.zotero.org/google-docs/?OkItKs" TargetMode="External"/><Relationship Id="rId62" Type="http://schemas.openxmlformats.org/officeDocument/2006/relationships/hyperlink" Target="https://www.zotero.org/google-docs/?OkItKs" TargetMode="External"/><Relationship Id="rId83" Type="http://schemas.openxmlformats.org/officeDocument/2006/relationships/hyperlink" Target="https://www.zotero.org/google-docs/?OkItKs" TargetMode="External"/><Relationship Id="rId88" Type="http://schemas.openxmlformats.org/officeDocument/2006/relationships/hyperlink" Target="https://www.zotero.org/google-docs/?OkItKs"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3426</Words>
  <Characters>19529</Characters>
  <Application>Microsoft Office Word</Application>
  <DocSecurity>0</DocSecurity>
  <Lines>162</Lines>
  <Paragraphs>45</Paragraphs>
  <ScaleCrop>false</ScaleCrop>
  <Company/>
  <LinksUpToDate>false</LinksUpToDate>
  <CharactersWithSpaces>22910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Katie Hampson</cp:lastModifiedBy>
  <cp:revision>4</cp:revision>
  <cp:lastPrinted>2021-04-19T02:04:00Z</cp:lastPrinted>
  <dcterms:created xsi:type="dcterms:W3CDTF">2021-04-19T02:04:00Z</dcterms:created>
  <dcterms:modified xsi:type="dcterms:W3CDTF">2021-04-19T02:56:00Z</dcterms:modified>
</cp:coreProperties>
</file>