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788976" w14:textId="13FBACB6" w:rsidR="00415B28" w:rsidRDefault="00415B28" w:rsidP="00415B28">
      <w:pPr>
        <w:pStyle w:val="Title"/>
      </w:pPr>
      <w:r>
        <w:t xml:space="preserve">Moby Dick; </w:t>
      </w:r>
      <w:proofErr w:type="gramStart"/>
      <w:r>
        <w:t>Or,</w:t>
      </w:r>
      <w:proofErr w:type="gramEnd"/>
      <w:r>
        <w:t xml:space="preserve"> The Whale</w:t>
      </w:r>
    </w:p>
    <w:p w14:paraId="3A7A16CA" w14:textId="6512BF3E" w:rsidR="00415B28" w:rsidRDefault="00415B28" w:rsidP="00415B28">
      <w:r>
        <w:t>By Herman Melville</w:t>
      </w:r>
    </w:p>
    <w:p w14:paraId="32E7C4E1" w14:textId="2097A2EF" w:rsidR="00415B28" w:rsidRDefault="00415B28" w:rsidP="00415B28">
      <w:pPr>
        <w:pStyle w:val="Heading1"/>
      </w:pPr>
      <w:r>
        <w:t>ETYMOLOGY.</w:t>
      </w:r>
    </w:p>
    <w:p w14:paraId="222FC1C9" w14:textId="3E482772" w:rsidR="00790C1D" w:rsidRPr="00790C1D" w:rsidRDefault="00790C1D" w:rsidP="00790C1D">
      <w:pPr>
        <w:pStyle w:val="ListParagraph"/>
        <w:numPr>
          <w:ilvl w:val="0"/>
          <w:numId w:val="2"/>
        </w:numPr>
      </w:pPr>
      <w:r w:rsidRPr="00790C1D">
        <w:t>“WHALE. * * * Sw. and Dan. </w:t>
      </w:r>
      <w:proofErr w:type="spellStart"/>
      <w:r w:rsidRPr="00790C1D">
        <w:rPr>
          <w:i/>
          <w:iCs/>
        </w:rPr>
        <w:t>hval</w:t>
      </w:r>
      <w:proofErr w:type="spellEnd"/>
      <w:r w:rsidRPr="00790C1D">
        <w:t>. This animal is named from roundness or rolling; for in Dan. </w:t>
      </w:r>
      <w:proofErr w:type="spellStart"/>
      <w:r w:rsidRPr="00790C1D">
        <w:rPr>
          <w:i/>
          <w:iCs/>
        </w:rPr>
        <w:t>hvalt</w:t>
      </w:r>
      <w:proofErr w:type="spellEnd"/>
      <w:r w:rsidRPr="00790C1D">
        <w:t> is arched or vaulted.” —</w:t>
      </w:r>
      <w:r>
        <w:t xml:space="preserve"> </w:t>
      </w:r>
      <w:r w:rsidRPr="00790C1D">
        <w:rPr>
          <w:i/>
          <w:iCs/>
        </w:rPr>
        <w:t>Webster’s Dictionary.</w:t>
      </w:r>
    </w:p>
    <w:p w14:paraId="434E8462" w14:textId="49904231" w:rsidR="00790C1D" w:rsidRPr="00790C1D" w:rsidRDefault="00790C1D" w:rsidP="00790C1D">
      <w:pPr>
        <w:pStyle w:val="ListParagraph"/>
        <w:numPr>
          <w:ilvl w:val="0"/>
          <w:numId w:val="2"/>
        </w:numPr>
      </w:pPr>
      <w:r w:rsidRPr="00790C1D">
        <w:t>“WHALE. * * * It is more immediately from the Dut. and Ger. </w:t>
      </w:r>
      <w:r w:rsidRPr="00790C1D">
        <w:rPr>
          <w:i/>
          <w:iCs/>
        </w:rPr>
        <w:t>Wallen</w:t>
      </w:r>
      <w:r w:rsidRPr="00790C1D">
        <w:t>; A.S. </w:t>
      </w:r>
      <w:proofErr w:type="spellStart"/>
      <w:r w:rsidRPr="00790C1D">
        <w:rPr>
          <w:i/>
          <w:iCs/>
        </w:rPr>
        <w:t>Walw-ian</w:t>
      </w:r>
      <w:proofErr w:type="spellEnd"/>
      <w:r w:rsidRPr="00790C1D">
        <w:t>, to roll, to wallow.” —</w:t>
      </w:r>
      <w:r>
        <w:t xml:space="preserve"> </w:t>
      </w:r>
      <w:r w:rsidRPr="00790C1D">
        <w:rPr>
          <w:i/>
          <w:iCs/>
        </w:rPr>
        <w:t>Richardson’s Dictionary.</w:t>
      </w:r>
    </w:p>
    <w:tbl>
      <w:tblPr>
        <w:tblStyle w:val="GridTable4"/>
        <w:tblW w:w="0" w:type="auto"/>
        <w:tblLook w:val="04A0" w:firstRow="1" w:lastRow="0" w:firstColumn="1" w:lastColumn="0" w:noHBand="0" w:noVBand="1"/>
      </w:tblPr>
      <w:tblGrid>
        <w:gridCol w:w="4675"/>
        <w:gridCol w:w="4675"/>
      </w:tblGrid>
      <w:tr w:rsidR="007271E2" w14:paraId="1AFAA1F6" w14:textId="77777777" w:rsidTr="007271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001671C" w14:textId="67ACEADC" w:rsidR="007271E2" w:rsidRDefault="007271E2" w:rsidP="007271E2">
            <w:r>
              <w:t>Word</w:t>
            </w:r>
          </w:p>
        </w:tc>
        <w:tc>
          <w:tcPr>
            <w:tcW w:w="4675" w:type="dxa"/>
          </w:tcPr>
          <w:p w14:paraId="10DD75BE" w14:textId="209B3A23" w:rsidR="007271E2" w:rsidRDefault="007271E2" w:rsidP="007271E2">
            <w:pPr>
              <w:cnfStyle w:val="100000000000" w:firstRow="1" w:lastRow="0" w:firstColumn="0" w:lastColumn="0" w:oddVBand="0" w:evenVBand="0" w:oddHBand="0" w:evenHBand="0" w:firstRowFirstColumn="0" w:firstRowLastColumn="0" w:lastRowFirstColumn="0" w:lastRowLastColumn="0"/>
            </w:pPr>
            <w:r>
              <w:t>Language</w:t>
            </w:r>
          </w:p>
        </w:tc>
      </w:tr>
      <w:tr w:rsidR="007271E2" w14:paraId="39365FE0" w14:textId="77777777" w:rsidTr="007271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C242D17" w14:textId="68521E2E" w:rsidR="007271E2" w:rsidRDefault="007271E2" w:rsidP="007271E2">
            <w:proofErr w:type="spellStart"/>
            <w:r w:rsidRPr="007271E2">
              <w:rPr>
                <w:rFonts w:ascii="Arial" w:hAnsi="Arial" w:cs="Arial"/>
              </w:rPr>
              <w:t>חו</w:t>
            </w:r>
            <w:proofErr w:type="spellEnd"/>
          </w:p>
        </w:tc>
        <w:tc>
          <w:tcPr>
            <w:tcW w:w="4675" w:type="dxa"/>
          </w:tcPr>
          <w:p w14:paraId="32E29336" w14:textId="6DD31878" w:rsidR="007271E2" w:rsidRDefault="007271E2" w:rsidP="007271E2">
            <w:pPr>
              <w:cnfStyle w:val="000000100000" w:firstRow="0" w:lastRow="0" w:firstColumn="0" w:lastColumn="0" w:oddVBand="0" w:evenVBand="0" w:oddHBand="1" w:evenHBand="0" w:firstRowFirstColumn="0" w:firstRowLastColumn="0" w:lastRowFirstColumn="0" w:lastRowLastColumn="0"/>
            </w:pPr>
            <w:r>
              <w:t>Hebrew.</w:t>
            </w:r>
          </w:p>
        </w:tc>
      </w:tr>
      <w:tr w:rsidR="007271E2" w14:paraId="144A61F6" w14:textId="77777777" w:rsidTr="007271E2">
        <w:tc>
          <w:tcPr>
            <w:cnfStyle w:val="001000000000" w:firstRow="0" w:lastRow="0" w:firstColumn="1" w:lastColumn="0" w:oddVBand="0" w:evenVBand="0" w:oddHBand="0" w:evenHBand="0" w:firstRowFirstColumn="0" w:firstRowLastColumn="0" w:lastRowFirstColumn="0" w:lastRowLastColumn="0"/>
            <w:tcW w:w="4675" w:type="dxa"/>
          </w:tcPr>
          <w:p w14:paraId="7608E55F" w14:textId="223F34A3" w:rsidR="007271E2" w:rsidRDefault="007271E2" w:rsidP="007271E2">
            <w:proofErr w:type="spellStart"/>
            <w:r w:rsidRPr="007271E2">
              <w:t>ϰητος</w:t>
            </w:r>
            <w:proofErr w:type="spellEnd"/>
          </w:p>
        </w:tc>
        <w:tc>
          <w:tcPr>
            <w:tcW w:w="4675" w:type="dxa"/>
          </w:tcPr>
          <w:p w14:paraId="4E5454EA" w14:textId="4FDB250B" w:rsidR="007271E2" w:rsidRDefault="007271E2" w:rsidP="007271E2">
            <w:pPr>
              <w:cnfStyle w:val="000000000000" w:firstRow="0" w:lastRow="0" w:firstColumn="0" w:lastColumn="0" w:oddVBand="0" w:evenVBand="0" w:oddHBand="0" w:evenHBand="0" w:firstRowFirstColumn="0" w:firstRowLastColumn="0" w:lastRowFirstColumn="0" w:lastRowLastColumn="0"/>
            </w:pPr>
            <w:r>
              <w:t>Greek.</w:t>
            </w:r>
          </w:p>
        </w:tc>
      </w:tr>
      <w:tr w:rsidR="007271E2" w14:paraId="33D00AF7" w14:textId="77777777" w:rsidTr="007271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49CE2C0" w14:textId="76B38D53" w:rsidR="007271E2" w:rsidRDefault="007271E2" w:rsidP="007271E2">
            <w:r w:rsidRPr="007271E2">
              <w:t>CETUS</w:t>
            </w:r>
          </w:p>
        </w:tc>
        <w:tc>
          <w:tcPr>
            <w:tcW w:w="4675" w:type="dxa"/>
          </w:tcPr>
          <w:p w14:paraId="11B3A510" w14:textId="34EF5334" w:rsidR="007271E2" w:rsidRDefault="007271E2" w:rsidP="007271E2">
            <w:pPr>
              <w:cnfStyle w:val="000000100000" w:firstRow="0" w:lastRow="0" w:firstColumn="0" w:lastColumn="0" w:oddVBand="0" w:evenVBand="0" w:oddHBand="1" w:evenHBand="0" w:firstRowFirstColumn="0" w:firstRowLastColumn="0" w:lastRowFirstColumn="0" w:lastRowLastColumn="0"/>
            </w:pPr>
            <w:r>
              <w:t>Latin.</w:t>
            </w:r>
          </w:p>
        </w:tc>
      </w:tr>
      <w:tr w:rsidR="007271E2" w14:paraId="1F868DDC" w14:textId="77777777" w:rsidTr="007271E2">
        <w:tc>
          <w:tcPr>
            <w:cnfStyle w:val="001000000000" w:firstRow="0" w:lastRow="0" w:firstColumn="1" w:lastColumn="0" w:oddVBand="0" w:evenVBand="0" w:oddHBand="0" w:evenHBand="0" w:firstRowFirstColumn="0" w:firstRowLastColumn="0" w:lastRowFirstColumn="0" w:lastRowLastColumn="0"/>
            <w:tcW w:w="4675" w:type="dxa"/>
          </w:tcPr>
          <w:p w14:paraId="08EA565F" w14:textId="72C6646F" w:rsidR="007271E2" w:rsidRPr="007271E2" w:rsidRDefault="007271E2" w:rsidP="007271E2">
            <w:r w:rsidRPr="007271E2">
              <w:t>WHŒL</w:t>
            </w:r>
          </w:p>
        </w:tc>
        <w:tc>
          <w:tcPr>
            <w:tcW w:w="4675" w:type="dxa"/>
          </w:tcPr>
          <w:p w14:paraId="210031E3" w14:textId="51A104A5" w:rsidR="007271E2" w:rsidRPr="007271E2" w:rsidRDefault="007271E2" w:rsidP="007271E2">
            <w:pPr>
              <w:cnfStyle w:val="000000000000" w:firstRow="0" w:lastRow="0" w:firstColumn="0" w:lastColumn="0" w:oddVBand="0" w:evenVBand="0" w:oddHBand="0" w:evenHBand="0" w:firstRowFirstColumn="0" w:firstRowLastColumn="0" w:lastRowFirstColumn="0" w:lastRowLastColumn="0"/>
              <w:rPr>
                <w:rFonts w:ascii="Aptos" w:hAnsi="Aptos"/>
                <w:color w:val="000000"/>
              </w:rPr>
            </w:pPr>
            <w:r>
              <w:rPr>
                <w:rFonts w:ascii="Aptos" w:hAnsi="Aptos"/>
                <w:color w:val="000000"/>
              </w:rPr>
              <w:t>Anglo-Saxon.</w:t>
            </w:r>
          </w:p>
        </w:tc>
      </w:tr>
    </w:tbl>
    <w:p w14:paraId="103A51A1" w14:textId="3B2BD0BD" w:rsidR="00201E47" w:rsidRDefault="00415B28" w:rsidP="00415B28">
      <w:pPr>
        <w:pStyle w:val="Heading1"/>
      </w:pPr>
      <w:r>
        <w:t xml:space="preserve">Chapter 1. </w:t>
      </w:r>
      <w:proofErr w:type="spellStart"/>
      <w:r>
        <w:t>Loomings</w:t>
      </w:r>
      <w:proofErr w:type="spellEnd"/>
      <w:r>
        <w:t>.</w:t>
      </w:r>
    </w:p>
    <w:p w14:paraId="47EDB785" w14:textId="77777777" w:rsidR="00415B28" w:rsidRDefault="00415B28" w:rsidP="00415B28">
      <w:r w:rsidRPr="00415B28">
        <w:t xml:space="preserve">Call me Ishmael. Some years ago—never mind how long precisely—having little or no money in my purse, and nothing particular to interest me on shore, I thought I would sail about a little and see the watery part of the world. </w:t>
      </w:r>
    </w:p>
    <w:p w14:paraId="577C3AEB" w14:textId="58FE7099" w:rsidR="00415B28" w:rsidRDefault="00415B28" w:rsidP="00415B28">
      <w:pPr>
        <w:pStyle w:val="Heading2"/>
      </w:pPr>
      <w:r>
        <w:t>Heading 2</w:t>
      </w:r>
    </w:p>
    <w:p w14:paraId="11B9FDC7" w14:textId="77777777" w:rsidR="00415B28" w:rsidRDefault="00415B28" w:rsidP="00415B28">
      <w:r w:rsidRPr="00415B28">
        <w:t>It is a way I have of driving off the spleen and regulating the circulation. Whenever I find myself growing grim about the mouth; whenever it is a damp, drizzly November in my soul; whenever I find myself involuntarily pausing before coffin warehouses, and bringing up the rear of every funeral I meet; and especially whenever my hypos get such an upper hand of me, that it requires a strong moral principle to prevent me from deliberately stepping into the street, and methodically knocking people’s hats off—then, I account it high time to get to sea as soon as I can.</w:t>
      </w:r>
    </w:p>
    <w:p w14:paraId="577846D8" w14:textId="29966C11" w:rsidR="00415B28" w:rsidRDefault="00415B28" w:rsidP="00415B28">
      <w:pPr>
        <w:pStyle w:val="Heading3"/>
      </w:pPr>
      <w:r>
        <w:t>Heading 3</w:t>
      </w:r>
    </w:p>
    <w:p w14:paraId="5984E3A4" w14:textId="2C90482C" w:rsidR="00790C1D" w:rsidRPr="00415B28" w:rsidRDefault="00415B28" w:rsidP="00415B28">
      <w:r w:rsidRPr="00415B28">
        <w:t>This is my substitute for pistol and ball. With a philosophical flourish Cato throws himself upon his sword; I quietly take to the ship. There is nothing surprising in this. If they but knew it, almost all men in their degree, some time or other, cherish very nearly the same feelings towards the ocean with me.</w:t>
      </w:r>
    </w:p>
    <w:sectPr w:rsidR="00790C1D" w:rsidRPr="00415B28" w:rsidSect="00EB4A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8591819"/>
    <w:multiLevelType w:val="hybridMultilevel"/>
    <w:tmpl w:val="38C42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B97574A"/>
    <w:multiLevelType w:val="hybridMultilevel"/>
    <w:tmpl w:val="FF2CD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40911405">
    <w:abstractNumId w:val="0"/>
  </w:num>
  <w:num w:numId="2" w16cid:durableId="15964052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5B28"/>
    <w:rsid w:val="0008101E"/>
    <w:rsid w:val="00201E47"/>
    <w:rsid w:val="002D513C"/>
    <w:rsid w:val="00415B28"/>
    <w:rsid w:val="00506B01"/>
    <w:rsid w:val="0071377F"/>
    <w:rsid w:val="007271E2"/>
    <w:rsid w:val="00790C1D"/>
    <w:rsid w:val="00894EBA"/>
    <w:rsid w:val="00D7797F"/>
    <w:rsid w:val="00EB4A32"/>
    <w:rsid w:val="00F6053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4FE82D39"/>
  <w15:chartTrackingRefBased/>
  <w15:docId w15:val="{A2122D41-4204-184B-A76A-F1683740A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5B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15B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15B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5B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5B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5B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5B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5B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5B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5B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15B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15B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5B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5B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5B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5B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5B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5B28"/>
    <w:rPr>
      <w:rFonts w:eastAsiaTheme="majorEastAsia" w:cstheme="majorBidi"/>
      <w:color w:val="272727" w:themeColor="text1" w:themeTint="D8"/>
    </w:rPr>
  </w:style>
  <w:style w:type="paragraph" w:styleId="Title">
    <w:name w:val="Title"/>
    <w:basedOn w:val="Normal"/>
    <w:next w:val="Normal"/>
    <w:link w:val="TitleChar"/>
    <w:uiPriority w:val="10"/>
    <w:qFormat/>
    <w:rsid w:val="00415B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5B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5B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5B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5B28"/>
    <w:pPr>
      <w:spacing w:before="160"/>
      <w:jc w:val="center"/>
    </w:pPr>
    <w:rPr>
      <w:i/>
      <w:iCs/>
      <w:color w:val="404040" w:themeColor="text1" w:themeTint="BF"/>
    </w:rPr>
  </w:style>
  <w:style w:type="character" w:customStyle="1" w:styleId="QuoteChar">
    <w:name w:val="Quote Char"/>
    <w:basedOn w:val="DefaultParagraphFont"/>
    <w:link w:val="Quote"/>
    <w:uiPriority w:val="29"/>
    <w:rsid w:val="00415B28"/>
    <w:rPr>
      <w:i/>
      <w:iCs/>
      <w:color w:val="404040" w:themeColor="text1" w:themeTint="BF"/>
    </w:rPr>
  </w:style>
  <w:style w:type="paragraph" w:styleId="ListParagraph">
    <w:name w:val="List Paragraph"/>
    <w:basedOn w:val="Normal"/>
    <w:uiPriority w:val="34"/>
    <w:qFormat/>
    <w:rsid w:val="00415B28"/>
    <w:pPr>
      <w:ind w:left="720"/>
      <w:contextualSpacing/>
    </w:pPr>
  </w:style>
  <w:style w:type="character" w:styleId="IntenseEmphasis">
    <w:name w:val="Intense Emphasis"/>
    <w:basedOn w:val="DefaultParagraphFont"/>
    <w:uiPriority w:val="21"/>
    <w:qFormat/>
    <w:rsid w:val="00415B28"/>
    <w:rPr>
      <w:i/>
      <w:iCs/>
      <w:color w:val="0F4761" w:themeColor="accent1" w:themeShade="BF"/>
    </w:rPr>
  </w:style>
  <w:style w:type="paragraph" w:styleId="IntenseQuote">
    <w:name w:val="Intense Quote"/>
    <w:basedOn w:val="Normal"/>
    <w:next w:val="Normal"/>
    <w:link w:val="IntenseQuoteChar"/>
    <w:uiPriority w:val="30"/>
    <w:qFormat/>
    <w:rsid w:val="00415B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5B28"/>
    <w:rPr>
      <w:i/>
      <w:iCs/>
      <w:color w:val="0F4761" w:themeColor="accent1" w:themeShade="BF"/>
    </w:rPr>
  </w:style>
  <w:style w:type="character" w:styleId="IntenseReference">
    <w:name w:val="Intense Reference"/>
    <w:basedOn w:val="DefaultParagraphFont"/>
    <w:uiPriority w:val="32"/>
    <w:qFormat/>
    <w:rsid w:val="00415B28"/>
    <w:rPr>
      <w:b/>
      <w:bCs/>
      <w:smallCaps/>
      <w:color w:val="0F4761" w:themeColor="accent1" w:themeShade="BF"/>
      <w:spacing w:val="5"/>
    </w:rPr>
  </w:style>
  <w:style w:type="table" w:styleId="TableGrid">
    <w:name w:val="Table Grid"/>
    <w:basedOn w:val="TableNormal"/>
    <w:uiPriority w:val="39"/>
    <w:rsid w:val="007271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7271E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3431544">
      <w:bodyDiv w:val="1"/>
      <w:marLeft w:val="0"/>
      <w:marRight w:val="0"/>
      <w:marTop w:val="0"/>
      <w:marBottom w:val="0"/>
      <w:divBdr>
        <w:top w:val="none" w:sz="0" w:space="0" w:color="auto"/>
        <w:left w:val="none" w:sz="0" w:space="0" w:color="auto"/>
        <w:bottom w:val="none" w:sz="0" w:space="0" w:color="auto"/>
        <w:right w:val="none" w:sz="0" w:space="0" w:color="auto"/>
      </w:divBdr>
    </w:div>
    <w:div w:id="340669537">
      <w:bodyDiv w:val="1"/>
      <w:marLeft w:val="0"/>
      <w:marRight w:val="0"/>
      <w:marTop w:val="0"/>
      <w:marBottom w:val="0"/>
      <w:divBdr>
        <w:top w:val="none" w:sz="0" w:space="0" w:color="auto"/>
        <w:left w:val="none" w:sz="0" w:space="0" w:color="auto"/>
        <w:bottom w:val="none" w:sz="0" w:space="0" w:color="auto"/>
        <w:right w:val="none" w:sz="0" w:space="0" w:color="auto"/>
      </w:divBdr>
    </w:div>
    <w:div w:id="647175588">
      <w:bodyDiv w:val="1"/>
      <w:marLeft w:val="0"/>
      <w:marRight w:val="0"/>
      <w:marTop w:val="0"/>
      <w:marBottom w:val="0"/>
      <w:divBdr>
        <w:top w:val="none" w:sz="0" w:space="0" w:color="auto"/>
        <w:left w:val="none" w:sz="0" w:space="0" w:color="auto"/>
        <w:bottom w:val="none" w:sz="0" w:space="0" w:color="auto"/>
        <w:right w:val="none" w:sz="0" w:space="0" w:color="auto"/>
      </w:divBdr>
    </w:div>
    <w:div w:id="746532715">
      <w:bodyDiv w:val="1"/>
      <w:marLeft w:val="0"/>
      <w:marRight w:val="0"/>
      <w:marTop w:val="0"/>
      <w:marBottom w:val="0"/>
      <w:divBdr>
        <w:top w:val="none" w:sz="0" w:space="0" w:color="auto"/>
        <w:left w:val="none" w:sz="0" w:space="0" w:color="auto"/>
        <w:bottom w:val="none" w:sz="0" w:space="0" w:color="auto"/>
        <w:right w:val="none" w:sz="0" w:space="0" w:color="auto"/>
      </w:divBdr>
    </w:div>
    <w:div w:id="906307327">
      <w:bodyDiv w:val="1"/>
      <w:marLeft w:val="0"/>
      <w:marRight w:val="0"/>
      <w:marTop w:val="0"/>
      <w:marBottom w:val="0"/>
      <w:divBdr>
        <w:top w:val="none" w:sz="0" w:space="0" w:color="auto"/>
        <w:left w:val="none" w:sz="0" w:space="0" w:color="auto"/>
        <w:bottom w:val="none" w:sz="0" w:space="0" w:color="auto"/>
        <w:right w:val="none" w:sz="0" w:space="0" w:color="auto"/>
      </w:divBdr>
    </w:div>
    <w:div w:id="1049837153">
      <w:bodyDiv w:val="1"/>
      <w:marLeft w:val="0"/>
      <w:marRight w:val="0"/>
      <w:marTop w:val="0"/>
      <w:marBottom w:val="0"/>
      <w:divBdr>
        <w:top w:val="none" w:sz="0" w:space="0" w:color="auto"/>
        <w:left w:val="none" w:sz="0" w:space="0" w:color="auto"/>
        <w:bottom w:val="none" w:sz="0" w:space="0" w:color="auto"/>
        <w:right w:val="none" w:sz="0" w:space="0" w:color="auto"/>
      </w:divBdr>
    </w:div>
    <w:div w:id="1083915685">
      <w:bodyDiv w:val="1"/>
      <w:marLeft w:val="0"/>
      <w:marRight w:val="0"/>
      <w:marTop w:val="0"/>
      <w:marBottom w:val="0"/>
      <w:divBdr>
        <w:top w:val="none" w:sz="0" w:space="0" w:color="auto"/>
        <w:left w:val="none" w:sz="0" w:space="0" w:color="auto"/>
        <w:bottom w:val="none" w:sz="0" w:space="0" w:color="auto"/>
        <w:right w:val="none" w:sz="0" w:space="0" w:color="auto"/>
      </w:divBdr>
    </w:div>
    <w:div w:id="1155998269">
      <w:bodyDiv w:val="1"/>
      <w:marLeft w:val="0"/>
      <w:marRight w:val="0"/>
      <w:marTop w:val="0"/>
      <w:marBottom w:val="0"/>
      <w:divBdr>
        <w:top w:val="none" w:sz="0" w:space="0" w:color="auto"/>
        <w:left w:val="none" w:sz="0" w:space="0" w:color="auto"/>
        <w:bottom w:val="none" w:sz="0" w:space="0" w:color="auto"/>
        <w:right w:val="none" w:sz="0" w:space="0" w:color="auto"/>
      </w:divBdr>
    </w:div>
    <w:div w:id="1163199073">
      <w:bodyDiv w:val="1"/>
      <w:marLeft w:val="0"/>
      <w:marRight w:val="0"/>
      <w:marTop w:val="0"/>
      <w:marBottom w:val="0"/>
      <w:divBdr>
        <w:top w:val="none" w:sz="0" w:space="0" w:color="auto"/>
        <w:left w:val="none" w:sz="0" w:space="0" w:color="auto"/>
        <w:bottom w:val="none" w:sz="0" w:space="0" w:color="auto"/>
        <w:right w:val="none" w:sz="0" w:space="0" w:color="auto"/>
      </w:divBdr>
    </w:div>
    <w:div w:id="1214270641">
      <w:bodyDiv w:val="1"/>
      <w:marLeft w:val="0"/>
      <w:marRight w:val="0"/>
      <w:marTop w:val="0"/>
      <w:marBottom w:val="0"/>
      <w:divBdr>
        <w:top w:val="none" w:sz="0" w:space="0" w:color="auto"/>
        <w:left w:val="none" w:sz="0" w:space="0" w:color="auto"/>
        <w:bottom w:val="none" w:sz="0" w:space="0" w:color="auto"/>
        <w:right w:val="none" w:sz="0" w:space="0" w:color="auto"/>
      </w:divBdr>
    </w:div>
    <w:div w:id="1291011936">
      <w:bodyDiv w:val="1"/>
      <w:marLeft w:val="0"/>
      <w:marRight w:val="0"/>
      <w:marTop w:val="0"/>
      <w:marBottom w:val="0"/>
      <w:divBdr>
        <w:top w:val="none" w:sz="0" w:space="0" w:color="auto"/>
        <w:left w:val="none" w:sz="0" w:space="0" w:color="auto"/>
        <w:bottom w:val="none" w:sz="0" w:space="0" w:color="auto"/>
        <w:right w:val="none" w:sz="0" w:space="0" w:color="auto"/>
      </w:divBdr>
    </w:div>
    <w:div w:id="1312952302">
      <w:bodyDiv w:val="1"/>
      <w:marLeft w:val="0"/>
      <w:marRight w:val="0"/>
      <w:marTop w:val="0"/>
      <w:marBottom w:val="0"/>
      <w:divBdr>
        <w:top w:val="none" w:sz="0" w:space="0" w:color="auto"/>
        <w:left w:val="none" w:sz="0" w:space="0" w:color="auto"/>
        <w:bottom w:val="none" w:sz="0" w:space="0" w:color="auto"/>
        <w:right w:val="none" w:sz="0" w:space="0" w:color="auto"/>
      </w:divBdr>
    </w:div>
    <w:div w:id="1452289088">
      <w:bodyDiv w:val="1"/>
      <w:marLeft w:val="0"/>
      <w:marRight w:val="0"/>
      <w:marTop w:val="0"/>
      <w:marBottom w:val="0"/>
      <w:divBdr>
        <w:top w:val="none" w:sz="0" w:space="0" w:color="auto"/>
        <w:left w:val="none" w:sz="0" w:space="0" w:color="auto"/>
        <w:bottom w:val="none" w:sz="0" w:space="0" w:color="auto"/>
        <w:right w:val="none" w:sz="0" w:space="0" w:color="auto"/>
      </w:divBdr>
    </w:div>
    <w:div w:id="1669988413">
      <w:bodyDiv w:val="1"/>
      <w:marLeft w:val="0"/>
      <w:marRight w:val="0"/>
      <w:marTop w:val="0"/>
      <w:marBottom w:val="0"/>
      <w:divBdr>
        <w:top w:val="none" w:sz="0" w:space="0" w:color="auto"/>
        <w:left w:val="none" w:sz="0" w:space="0" w:color="auto"/>
        <w:bottom w:val="none" w:sz="0" w:space="0" w:color="auto"/>
        <w:right w:val="none" w:sz="0" w:space="0" w:color="auto"/>
      </w:divBdr>
    </w:div>
    <w:div w:id="1808159201">
      <w:bodyDiv w:val="1"/>
      <w:marLeft w:val="0"/>
      <w:marRight w:val="0"/>
      <w:marTop w:val="0"/>
      <w:marBottom w:val="0"/>
      <w:divBdr>
        <w:top w:val="none" w:sz="0" w:space="0" w:color="auto"/>
        <w:left w:val="none" w:sz="0" w:space="0" w:color="auto"/>
        <w:bottom w:val="none" w:sz="0" w:space="0" w:color="auto"/>
        <w:right w:val="none" w:sz="0" w:space="0" w:color="auto"/>
      </w:divBdr>
    </w:div>
    <w:div w:id="1858080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232</Words>
  <Characters>1324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Boyechko</dc:creator>
  <cp:keywords/>
  <dc:description/>
  <cp:lastModifiedBy>Richard Boyechko</cp:lastModifiedBy>
  <cp:revision>2</cp:revision>
  <dcterms:created xsi:type="dcterms:W3CDTF">2025-10-02T21:11:00Z</dcterms:created>
  <dcterms:modified xsi:type="dcterms:W3CDTF">2025-10-02T21:32:00Z</dcterms:modified>
</cp:coreProperties>
</file>