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rPr/>
        <w:t xml:space="preserve">ABSA Home Loan Extrascreen Update Process Flow</w:t>
      </w:r>
    </w:p>
    <w:p>
      <w:pPr>
        <w:pStyle w:val="Normal"/>
      </w:pPr>
      <w:r>
        <w:rPr/>
        <w:t xml:space="preserve">Updated from current absa_home_loan_extrascreen_update.py behavior.</w:t>
      </w:r>
    </w:p>
    <w:p>
      <w:pPr>
        <w:pStyle w:val="Normal"/>
      </w:pPr>
      <w:r>
        <w:rPr/>
        <w:t xml:space="preserve">Target document: ABSA Home Loan Extrascreen Update Process Flow.docx</w:t>
      </w:r>
    </w:p>
    <w:p>
      <w:pPr>
        <w:pStyle w:val="Normal"/>
      </w:pPr>
      <w:r>
        <w:rPr/>
        <w:t xml:space="preserve">Revision basis: script reviewed on 08 June 2026</w:t>
      </w:r>
    </w:p>
    <w:p>
      <w:pPr>
        <w:pStyle w:val="Normal"/>
      </w:pPr>
      <w:r>
        <w:rPr/>
        <w:t xml:space="preserve">This version documents the current ABSA extrascreen updater for Comments and PTP files across DBN-JHB and WC, including FTP download, payload building, LegalSuite update/store fallback, verification workbook output, and JSON reporting.</w:t>
      </w:r>
    </w:p>
    <w:p>
      <w:pPr>
        <w:pStyle w:val="Heading1"/>
      </w:pPr>
      <w:r>
        <w:rPr/>
        <w:t xml:space="preserve">1. High-Level Runtime Flow</w:t>
      </w:r>
    </w:p>
    <w:p>
      <w:pPr>
        <w:pStyle w:val="CodeBlock"/>
      </w:pPr>
      <w:r>
        <w:rPr/>
        <w:t xml:space="preserve">[Start]</w:t>
      </w:r>
    </w:p>
    <w:p>
      <w:pPr>
        <w:pStyle w:val="CodeBlock"/>
      </w:pPr>
      <w:r>
        <w:rPr/>
        <w:t xml:space="preserve">  |</w:t>
      </w:r>
    </w:p>
    <w:p>
      <w:pPr>
        <w:pStyle w:val="CodeBlock"/>
      </w:pPr>
      <w:r>
        <w:rPr/>
        <w:t xml:space="preserve">  v</w:t>
      </w:r>
    </w:p>
    <w:p>
      <w:pPr>
        <w:pStyle w:val="CodeBlock"/>
      </w:pPr>
      <w:r>
        <w:rPr/>
        <w:t xml:space="preserve">[Parse CLI arguments]</w:t>
      </w:r>
    </w:p>
    <w:p>
      <w:pPr>
        <w:pStyle w:val="CodeBlock"/>
      </w:pPr>
      <w:r>
        <w:rPr/>
        <w:t xml:space="preserve">  |</w:t>
      </w:r>
    </w:p>
    <w:p>
      <w:pPr>
        <w:pStyle w:val="CodeBlock"/>
      </w:pPr>
      <w:r>
        <w:rPr/>
        <w:t xml:space="preserve">  v</w:t>
      </w:r>
    </w:p>
    <w:p>
      <w:pPr>
        <w:pStyle w:val="CodeBlock"/>
      </w:pPr>
      <w:r>
        <w:rPr/>
        <w:t xml:space="preserve">[Resolve target date from --date / --days-ago / --day-N]</w:t>
      </w:r>
    </w:p>
    <w:p>
      <w:pPr>
        <w:pStyle w:val="CodeBlock"/>
      </w:pPr>
      <w:r>
        <w:rPr/>
        <w:t xml:space="preserve">  |</w:t>
      </w:r>
    </w:p>
    <w:p>
      <w:pPr>
        <w:pStyle w:val="CodeBlock"/>
      </w:pPr>
      <w:r>
        <w:rPr/>
        <w:t xml:space="preserve">  +--&gt; [--skip-download?] -- yes --&gt; [Reuse local downloads_absa files]</w:t>
      </w:r>
    </w:p>
    <w:p>
      <w:pPr>
        <w:pStyle w:val="CodeBlock"/>
      </w:pPr>
      <w:r>
        <w:rPr/>
        <w:t xml:space="preserve">  |</w:t>
      </w:r>
    </w:p>
    <w:p>
      <w:pPr>
        <w:pStyle w:val="CodeBlock"/>
      </w:pPr>
      <w:r>
        <w:rPr/>
        <w:t xml:space="preserve">  no</w:t>
      </w:r>
    </w:p>
    <w:p>
      <w:pPr>
        <w:pStyle w:val="CodeBlock"/>
      </w:pPr>
      <w:r>
        <w:rPr/>
        <w:t xml:space="preserve">  |</w:t>
      </w:r>
    </w:p>
    <w:p>
      <w:pPr>
        <w:pStyle w:val="CodeBlock"/>
      </w:pPr>
      <w:r>
        <w:rPr/>
        <w:t xml:space="preserve">  v</w:t>
      </w:r>
    </w:p>
    <w:p>
      <w:pPr>
        <w:pStyle w:val="CodeBlock"/>
      </w:pPr>
      <w:r>
        <w:rPr/>
        <w:t xml:space="preserve">[Connect to FTP and download selected file types]</w:t>
      </w:r>
    </w:p>
    <w:p>
      <w:pPr>
        <w:pStyle w:val="CodeBlock"/>
      </w:pPr>
      <w:r>
        <w:rPr/>
        <w:t xml:space="preserve">  |</w:t>
      </w:r>
    </w:p>
    <w:p>
      <w:pPr>
        <w:pStyle w:val="CodeBlock"/>
      </w:pPr>
      <w:r>
        <w:rPr/>
        <w:t xml:space="preserve">  v</w:t>
      </w:r>
    </w:p>
    <w:p>
      <w:pPr>
        <w:pStyle w:val="CodeBlock"/>
      </w:pPr>
      <w:r>
        <w:rPr/>
        <w:t xml:space="preserve">[Build comments and/or PTP update payloads from Excel workbooks]</w:t>
      </w:r>
    </w:p>
    <w:p>
      <w:pPr>
        <w:pStyle w:val="CodeBlock"/>
      </w:pPr>
      <w:r>
        <w:rPr/>
        <w:t xml:space="preserve">  |</w:t>
      </w:r>
    </w:p>
    <w:p>
      <w:pPr>
        <w:pStyle w:val="CodeBlock"/>
      </w:pPr>
      <w:r>
        <w:rPr/>
        <w:t xml:space="preserve">  v</w:t>
      </w:r>
    </w:p>
    <w:p>
      <w:pPr>
        <w:pStyle w:val="CodeBlock"/>
      </w:pPr>
      <w:r>
        <w:rPr/>
        <w:t xml:space="preserve">[Create LegalSuite API clients from required env vars]</w:t>
      </w:r>
    </w:p>
    <w:p>
      <w:pPr>
        <w:pStyle w:val="CodeBlock"/>
      </w:pPr>
      <w:r>
        <w:rPr/>
        <w:t xml:space="preserve">  |</w:t>
      </w:r>
    </w:p>
    <w:p>
      <w:pPr>
        <w:pStyle w:val="CodeBlock"/>
      </w:pPr>
      <w:r>
        <w:rPr/>
        <w:t xml:space="preserve">  v</w:t>
      </w:r>
    </w:p>
    <w:p>
      <w:pPr>
        <w:pStyle w:val="CodeBlock"/>
      </w:pPr>
      <w:r>
        <w:rPr/>
        <w:t xml:space="preserve">[Update extrascreens in LegalSuite]</w:t>
      </w:r>
    </w:p>
    <w:p>
      <w:pPr>
        <w:pStyle w:val="CodeBlock"/>
      </w:pPr>
      <w:r>
        <w:rPr/>
        <w:t xml:space="preserve">  |</w:t>
      </w:r>
    </w:p>
    <w:p>
      <w:pPr>
        <w:pStyle w:val="CodeBlock"/>
      </w:pPr>
      <w:r>
        <w:rPr/>
        <w:t xml:space="preserve">  +--&gt; [--dry-run?] -- yes --&gt; [Record payload preview only]</w:t>
      </w:r>
    </w:p>
    <w:p>
      <w:pPr>
        <w:pStyle w:val="CodeBlock"/>
      </w:pPr>
      <w:r>
        <w:rPr/>
        <w:t xml:space="preserve">  |</w:t>
      </w:r>
    </w:p>
    <w:p>
      <w:pPr>
        <w:pStyle w:val="CodeBlock"/>
      </w:pPr>
      <w:r>
        <w:rPr/>
        <w:t xml:space="preserve">  +--&gt; [--no-verify?] -- yes --&gt; [POST update without GET verification]</w:t>
      </w:r>
    </w:p>
    <w:p>
      <w:pPr>
        <w:pStyle w:val="CodeBlock"/>
      </w:pPr>
      <w:r>
        <w:rPr/>
        <w:t xml:space="preserve">  |</w:t>
      </w:r>
    </w:p>
    <w:p>
      <w:pPr>
        <w:pStyle w:val="CodeBlock"/>
      </w:pPr>
      <w:r>
        <w:rPr/>
        <w:t xml:space="preserve">  +--&gt; [Verification enabled] --&gt; [GET existing row, update, GET again, compare fields]</w:t>
      </w:r>
    </w:p>
    <w:p>
      <w:pPr>
        <w:pStyle w:val="CodeBlock"/>
      </w:pPr>
      <w:r>
        <w:rPr/>
        <w:t xml:space="preserve">  |</w:t>
      </w:r>
    </w:p>
    <w:p>
      <w:pPr>
        <w:pStyle w:val="CodeBlock"/>
      </w:pPr>
      <w:r>
        <w:rPr/>
        <w:t xml:space="preserve">  +--&gt; [No row returned after update?] --&gt; [Try matdocsc/store, then verify again]</w:t>
      </w:r>
    </w:p>
    <w:p>
      <w:pPr>
        <w:pStyle w:val="CodeBlock"/>
      </w:pPr>
      <w:r>
        <w:rPr/>
        <w:t xml:space="preserve">  |</w:t>
      </w:r>
    </w:p>
    <w:p>
      <w:pPr>
        <w:pStyle w:val="CodeBlock"/>
      </w:pPr>
      <w:r>
        <w:rPr/>
        <w:t xml:space="preserve">  v</w:t>
      </w:r>
    </w:p>
    <w:p>
      <w:pPr>
        <w:pStyle w:val="CodeBlock"/>
      </w:pPr>
      <w:r>
        <w:rPr/>
        <w:t xml:space="preserve">[Write verification workbook copies under verification_absa/]</w:t>
      </w:r>
    </w:p>
    <w:p>
      <w:pPr>
        <w:pStyle w:val="CodeBlock"/>
      </w:pPr>
      <w:r>
        <w:rPr/>
        <w:t xml:space="preserve">  |</w:t>
      </w:r>
    </w:p>
    <w:p>
      <w:pPr>
        <w:pStyle w:val="CodeBlock"/>
      </w:pPr>
      <w:r>
        <w:rPr/>
        <w:t xml:space="preserve">  v</w:t>
      </w:r>
    </w:p>
    <w:p>
      <w:pPr>
        <w:pStyle w:val="CodeBlock"/>
      </w:pPr>
      <w:r>
        <w:rPr/>
        <w:t xml:space="preserve">[Write JSON report under downloads_absa/_reports/]</w:t>
      </w:r>
    </w:p>
    <w:p>
      <w:pPr>
        <w:pStyle w:val="CodeBlock"/>
      </w:pPr>
      <w:r>
        <w:rPr/>
        <w:t xml:space="preserve">  |</w:t>
      </w:r>
    </w:p>
    <w:p>
      <w:pPr>
        <w:pStyle w:val="CodeBlock"/>
      </w:pPr>
      <w:r>
        <w:rPr/>
        <w:t xml:space="preserve">  v</w:t>
      </w:r>
    </w:p>
    <w:p>
      <w:pPr>
        <w:pStyle w:val="CodeBlock"/>
      </w:pPr>
      <w:r>
        <w:rPr/>
        <w:t xml:space="preserve">[End]</w:t>
      </w:r>
    </w:p>
    <w:p>
      <w:pPr>
        <w:pStyle w:val="Heading1"/>
      </w:pPr>
      <w:r>
        <w:rPr/>
        <w:t xml:space="preserve">2. FTP Input Sources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600" w:type="dxa"/>
            <w:shd w:val="clear" w:color="auto" w:fill="DCE9F7"/>
          </w:tcPr>
          <w:p>
            <w:pPr>
              <w:spacing w:after="40"/>
            </w:pPr>
            <w:r>
              <w:rPr>
                <w:b/>
              </w:rPr>
              <w:t xml:space="preserve">FTP Folder</w:t>
            </w:r>
          </w:p>
        </w:tc>
        <w:tc>
          <w:tcPr>
            <w:tcW w:w="2800" w:type="dxa"/>
            <w:shd w:val="clear" w:color="auto" w:fill="DCE9F7"/>
          </w:tcPr>
          <w:p>
            <w:pPr>
              <w:spacing w:after="40"/>
            </w:pPr>
            <w:r>
              <w:rPr>
                <w:b/>
              </w:rPr>
              <w:t xml:space="preserve">Filename Pattern</w:t>
            </w:r>
          </w:p>
        </w:tc>
        <w:tc>
          <w:tcPr>
            <w:tcW w:w="2600" w:type="dxa"/>
            <w:shd w:val="clear" w:color="auto" w:fill="DCE9F7"/>
          </w:tcPr>
          <w:p>
            <w:pPr>
              <w:spacing w:after="40"/>
            </w:pPr>
            <w:r>
              <w:rPr>
                <w:b/>
              </w:rPr>
              <w:t xml:space="preserve">Purpose</w:t>
            </w:r>
          </w:p>
        </w:tc>
      </w:tr>
      <w:tr>
        <w:tc>
          <w:tcPr>
            <w:tcW w:w="3600" w:type="dxa"/>
            <w:shd w:val="clear" w:color="auto" w:fill="FFFFFF"/>
          </w:tcPr>
          <w:p>
            <w:pPr>
              <w:spacing w:after="40"/>
            </w:pPr>
            <w:r>
              <w:rPr/>
              <w:t xml:space="preserve">ABSA Home Loan Legal/APT TO LSW/DBN-JHB/Comments</w:t>
            </w:r>
          </w:p>
        </w:tc>
        <w:tc>
          <w:tcPr>
            <w:tcW w:w="2800" w:type="dxa"/>
            <w:shd w:val="clear" w:color="auto" w:fill="FFFFFF"/>
          </w:tcPr>
          <w:p>
            <w:pPr>
              <w:spacing w:after="40"/>
            </w:pPr>
            <w:r>
              <w:rPr/>
              <w:t xml:space="preserve">ABSA_Home_Loan_Legal_Comments_DBN_JHB_{date}.xlsx</w:t>
            </w:r>
          </w:p>
        </w:tc>
        <w:tc>
          <w:tcPr>
            <w:tcW w:w="2600" w:type="dxa"/>
            <w:shd w:val="clear" w:color="auto" w:fill="FFFFFF"/>
          </w:tcPr>
          <w:p>
            <w:pPr>
              <w:spacing w:after="40"/>
            </w:pPr>
            <w:r>
              <w:rPr/>
              <w:t xml:space="preserve">Comments extrascreen source for DBN-JHB</w:t>
            </w:r>
          </w:p>
        </w:tc>
      </w:tr>
      <w:tr>
        <w:tc>
          <w:tcPr>
            <w:tcW w:w="3600" w:type="dxa"/>
            <w:shd w:val="clear" w:color="auto" w:fill="F8FAFC"/>
          </w:tcPr>
          <w:p>
            <w:pPr>
              <w:spacing w:after="40"/>
            </w:pPr>
            <w:r>
              <w:rPr/>
              <w:t xml:space="preserve">ABSA Home Loan Legal/APT TO LSW/DBN-JHB/PTP</w:t>
            </w:r>
          </w:p>
        </w:tc>
        <w:tc>
          <w:tcPr>
            <w:tcW w:w="2800" w:type="dxa"/>
            <w:shd w:val="clear" w:color="auto" w:fill="F8FAFC"/>
          </w:tcPr>
          <w:p>
            <w:pPr>
              <w:spacing w:after="40"/>
            </w:pPr>
            <w:r>
              <w:rPr/>
              <w:t xml:space="preserve">ABSA_Home_Loan_Legal_PTP_DBN_JHB_{date}.xlsx</w:t>
            </w:r>
          </w:p>
        </w:tc>
        <w:tc>
          <w:tcPr>
            <w:tcW w:w="2600" w:type="dxa"/>
            <w:shd w:val="clear" w:color="auto" w:fill="F8FAFC"/>
          </w:tcPr>
          <w:p>
            <w:pPr>
              <w:spacing w:after="40"/>
            </w:pPr>
            <w:r>
              <w:rPr/>
              <w:t xml:space="preserve">PTP extrascreen source for DBN-JHB</w:t>
            </w:r>
          </w:p>
        </w:tc>
      </w:tr>
      <w:tr>
        <w:tc>
          <w:tcPr>
            <w:tcW w:w="3600" w:type="dxa"/>
            <w:shd w:val="clear" w:color="auto" w:fill="FFFFFF"/>
          </w:tcPr>
          <w:p>
            <w:pPr>
              <w:spacing w:after="40"/>
            </w:pPr>
            <w:r>
              <w:rPr/>
              <w:t xml:space="preserve">ABSA Home Loan Legal/APT TO LSW/WC/Comments</w:t>
            </w:r>
          </w:p>
        </w:tc>
        <w:tc>
          <w:tcPr>
            <w:tcW w:w="2800" w:type="dxa"/>
            <w:shd w:val="clear" w:color="auto" w:fill="FFFFFF"/>
          </w:tcPr>
          <w:p>
            <w:pPr>
              <w:spacing w:after="40"/>
            </w:pPr>
            <w:r>
              <w:rPr/>
              <w:t xml:space="preserve">ABSA_Home_Loan_Legal_Comments_WC_{date}.xlsx</w:t>
            </w:r>
          </w:p>
        </w:tc>
        <w:tc>
          <w:tcPr>
            <w:tcW w:w="2600" w:type="dxa"/>
            <w:shd w:val="clear" w:color="auto" w:fill="FFFFFF"/>
          </w:tcPr>
          <w:p>
            <w:pPr>
              <w:spacing w:after="40"/>
            </w:pPr>
            <w:r>
              <w:rPr/>
              <w:t xml:space="preserve">Comments extrascreen source for WC</w:t>
            </w:r>
          </w:p>
        </w:tc>
      </w:tr>
      <w:tr>
        <w:tc>
          <w:tcPr>
            <w:tcW w:w="3600" w:type="dxa"/>
            <w:shd w:val="clear" w:color="auto" w:fill="F8FAFC"/>
          </w:tcPr>
          <w:p>
            <w:pPr>
              <w:spacing w:after="40"/>
            </w:pPr>
            <w:r>
              <w:rPr/>
              <w:t xml:space="preserve">ABSA Home Loan Legal/APT TO LSW/WC/PTP</w:t>
            </w:r>
          </w:p>
        </w:tc>
        <w:tc>
          <w:tcPr>
            <w:tcW w:w="2800" w:type="dxa"/>
            <w:shd w:val="clear" w:color="auto" w:fill="F8FAFC"/>
          </w:tcPr>
          <w:p>
            <w:pPr>
              <w:spacing w:after="40"/>
            </w:pPr>
            <w:r>
              <w:rPr/>
              <w:t xml:space="preserve">ABSA_Home_Loan_Legal_PTP_WC_{date}.xlsx</w:t>
            </w:r>
          </w:p>
        </w:tc>
        <w:tc>
          <w:tcPr>
            <w:tcW w:w="2600" w:type="dxa"/>
            <w:shd w:val="clear" w:color="auto" w:fill="F8FAFC"/>
          </w:tcPr>
          <w:p>
            <w:pPr>
              <w:spacing w:after="40"/>
            </w:pPr>
            <w:r>
              <w:rPr/>
              <w:t xml:space="preserve">PTP extrascreen source for WC</w:t>
            </w:r>
          </w:p>
        </w:tc>
      </w:tr>
    </w:tbl>
    <w:p>
      <w:pPr>
        <w:pStyle w:val="Normal"/>
      </w:pPr>
      <w:r>
        <w:rPr/>
        <w:t xml:space="preserve">• DBN-JHB comments use screen 553 and PTP uses screen 552.</w:t>
      </w:r>
    </w:p>
    <w:p>
      <w:pPr>
        <w:pStyle w:val="Normal"/>
      </w:pPr>
      <w:r>
        <w:rPr/>
        <w:t xml:space="preserve">• WC comments use screen 377 and PTP uses screen 376.</w:t>
      </w:r>
    </w:p>
    <w:p>
      <w:pPr>
        <w:pStyle w:val="Normal"/>
      </w:pPr>
      <w:r>
        <w:rPr/>
        <w:t xml:space="preserve">• The script downloads exact selected-date filenames; it does not use wildcard newest-match logic.</w:t>
      </w:r>
    </w:p>
    <w:p>
      <w:pPr>
        <w:pStyle w:val="Normal"/>
      </w:pPr>
      <w:r>
        <w:rPr/>
        <w:t xml:space="preserve">• With --skip-download, the script expects those same files to already exist under downloads_absa/.</w:t>
      </w:r>
    </w:p>
    <w:p>
      <w:pPr>
        <w:pStyle w:val="Heading1"/>
      </w:pPr>
      <w:r>
        <w:rPr/>
        <w:t xml:space="preserve">3. Workbook Parsing Rules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1800" w:type="dxa"/>
            <w:shd w:val="clear" w:color="auto" w:fill="DCE9F7"/>
          </w:tcPr>
          <w:p>
            <w:pPr>
              <w:spacing w:after="40"/>
            </w:pPr>
            <w:r>
              <w:rPr>
                <w:b/>
              </w:rPr>
              <w:t xml:space="preserve">File Type</w:t>
            </w:r>
          </w:p>
        </w:tc>
        <w:tc>
          <w:tcPr>
            <w:tcW w:w="3300" w:type="dxa"/>
            <w:shd w:val="clear" w:color="auto" w:fill="DCE9F7"/>
          </w:tcPr>
          <w:p>
            <w:pPr>
              <w:spacing w:after="40"/>
            </w:pPr>
            <w:r>
              <w:rPr>
                <w:b/>
              </w:rPr>
              <w:t xml:space="preserve">Required Columns</w:t>
            </w:r>
          </w:p>
        </w:tc>
        <w:tc>
          <w:tcPr>
            <w:tcW w:w="3900" w:type="dxa"/>
            <w:shd w:val="clear" w:color="auto" w:fill="DCE9F7"/>
          </w:tcPr>
          <w:p>
            <w:pPr>
              <w:spacing w:after="40"/>
            </w:pPr>
            <w:r>
              <w:rPr>
                <w:b/>
              </w:rPr>
              <w:t xml:space="preserve">Current Behavior</w:t>
            </w:r>
          </w:p>
        </w:tc>
      </w:tr>
      <w:tr>
        <w:tc>
          <w:tcPr>
            <w:tcW w:w="1800" w:type="dxa"/>
            <w:shd w:val="clear" w:color="auto" w:fill="FFFFFF"/>
          </w:tcPr>
          <w:p>
            <w:pPr>
              <w:spacing w:after="40"/>
            </w:pPr>
            <w:r>
              <w:rPr/>
              <w:t xml:space="preserve">Comments</w:t>
            </w:r>
          </w:p>
        </w:tc>
        <w:tc>
          <w:tcPr>
            <w:tcW w:w="3300" w:type="dxa"/>
            <w:shd w:val="clear" w:color="auto" w:fill="FFFFFF"/>
          </w:tcPr>
          <w:p>
            <w:pPr>
              <w:spacing w:after="40"/>
            </w:pPr>
            <w:r>
              <w:rPr/>
              <w:t xml:space="preserve">Account Number, Comment / Memo, Number Dialled, Date, Branch ID</w:t>
            </w:r>
          </w:p>
        </w:tc>
        <w:tc>
          <w:tcPr>
            <w:tcW w:w="3900" w:type="dxa"/>
            <w:shd w:val="clear" w:color="auto" w:fill="FFFFFF"/>
          </w:tcPr>
          <w:p>
            <w:pPr>
              <w:spacing w:after="40"/>
            </w:pPr>
            <w:r>
              <w:rPr/>
              <w:t xml:space="preserve">Rows are grouped by Account Number. The newest six rows are kept, then written oldest-to-newest into field2-field25. field1 holds Account Number and field26 holds the latest non-blank Branch ID.</w:t>
            </w:r>
          </w:p>
        </w:tc>
      </w:tr>
      <w:tr>
        <w:tc>
          <w:tcPr>
            <w:tcW w:w="1800" w:type="dxa"/>
            <w:shd w:val="clear" w:color="auto" w:fill="F8FAFC"/>
          </w:tcPr>
          <w:p>
            <w:pPr>
              <w:spacing w:after="40"/>
            </w:pPr>
            <w:r>
              <w:rPr/>
              <w:t xml:space="preserve">PTP</w:t>
            </w:r>
          </w:p>
        </w:tc>
        <w:tc>
          <w:tcPr>
            <w:tcW w:w="3300" w:type="dxa"/>
            <w:shd w:val="clear" w:color="auto" w:fill="F8FAFC"/>
          </w:tcPr>
          <w:p>
            <w:pPr>
              <w:spacing w:after="40"/>
            </w:pPr>
            <w:r>
              <w:rPr/>
              <w:t xml:space="preserve">Account Number, PTP Capture Date, PTP Due Date, PTP Amount, Branch ID</w:t>
            </w:r>
          </w:p>
        </w:tc>
        <w:tc>
          <w:tcPr>
            <w:tcW w:w="3900" w:type="dxa"/>
            <w:shd w:val="clear" w:color="auto" w:fill="F8FAFC"/>
          </w:tcPr>
          <w:p>
            <w:pPr>
              <w:spacing w:after="40"/>
            </w:pPr>
            <w:r>
              <w:rPr/>
              <w:t xml:space="preserve">Rows are grouped by Account Number. Only the latest row is kept. field1 holds Account Number, field2 capture date, field3 due date, field4 amount, and field13 Branch ID.</w:t>
            </w:r>
          </w:p>
        </w:tc>
      </w:tr>
    </w:tbl>
    <w:p>
      <w:pPr>
        <w:pStyle w:val="Normal"/>
      </w:pPr>
      <w:r>
        <w:rPr/>
        <w:t xml:space="preserve">• Header matching is normalized by lowercasing and removing non-alphanumeric characters.</w:t>
      </w:r>
    </w:p>
    <w:p>
      <w:pPr>
        <w:pStyle w:val="Normal"/>
      </w:pPr>
      <w:r>
        <w:rPr/>
        <w:t xml:space="preserve">• Blank Account Number rows are ignored.</w:t>
      </w:r>
    </w:p>
    <w:p>
      <w:pPr>
        <w:pStyle w:val="Normal"/>
      </w:pPr>
      <w:r>
        <w:rPr/>
        <w:t xml:space="preserve">• Dates are converted from Excel/date text into LegalSuite serial dates using a +36161 offset.</w:t>
      </w:r>
    </w:p>
    <w:p>
      <w:pPr>
        <w:pStyle w:val="Normal"/>
      </w:pPr>
      <w:r>
        <w:rPr/>
        <w:t xml:space="preserve">• Comment times are stored separately in HH:MM:SS format.</w:t>
      </w:r>
    </w:p>
    <w:p>
      <w:pPr>
        <w:pStyle w:val="Normal"/>
      </w:pPr>
      <w:r>
        <w:rPr/>
        <w:t xml:space="preserve">• Numeric values such as PTP Amount are stripped of symbols/commas and normalized before posting.</w:t>
      </w:r>
    </w:p>
    <w:p>
      <w:pPr>
        <w:pStyle w:val="Heading1"/>
      </w:pPr>
      <w:r>
        <w:rPr/>
        <w:t xml:space="preserve">4. Comments Field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1200" w:type="dxa"/>
            <w:shd w:val="clear" w:color="auto" w:fill="DCE9F7"/>
          </w:tcPr>
          <w:p>
            <w:pPr>
              <w:spacing w:after="40"/>
            </w:pPr>
            <w:r>
              <w:rPr>
                <w:b/>
              </w:rPr>
              <w:t xml:space="preserve">Slot</w:t>
            </w:r>
          </w:p>
        </w:tc>
        <w:tc>
          <w:tcPr>
            <w:tcW w:w="1700" w:type="dxa"/>
            <w:shd w:val="clear" w:color="auto" w:fill="DCE9F7"/>
          </w:tcPr>
          <w:p>
            <w:pPr>
              <w:spacing w:after="40"/>
            </w:pPr>
            <w:r>
              <w:rPr>
                <w:b/>
              </w:rPr>
              <w:t xml:space="preserve">Memo Field</w:t>
            </w:r>
          </w:p>
        </w:tc>
        <w:tc>
          <w:tcPr>
            <w:tcW w:w="2100" w:type="dxa"/>
            <w:shd w:val="clear" w:color="auto" w:fill="DCE9F7"/>
          </w:tcPr>
          <w:p>
            <w:pPr>
              <w:spacing w:after="40"/>
            </w:pPr>
            <w:r>
              <w:rPr>
                <w:b/>
              </w:rPr>
              <w:t xml:space="preserve">Number Dialled Field</w:t>
            </w:r>
          </w:p>
        </w:tc>
        <w:tc>
          <w:tcPr>
            <w:tcW w:w="1500" w:type="dxa"/>
            <w:shd w:val="clear" w:color="auto" w:fill="DCE9F7"/>
          </w:tcPr>
          <w:p>
            <w:pPr>
              <w:spacing w:after="40"/>
            </w:pPr>
            <w:r>
              <w:rPr>
                <w:b/>
              </w:rPr>
              <w:t xml:space="preserve">Date Field</w:t>
            </w:r>
          </w:p>
        </w:tc>
        <w:tc>
          <w:tcPr>
            <w:tcW w:w="1500" w:type="dxa"/>
            <w:shd w:val="clear" w:color="auto" w:fill="DCE9F7"/>
          </w:tcPr>
          <w:p>
            <w:pPr>
              <w:spacing w:after="40"/>
            </w:pPr>
            <w:r>
              <w:rPr>
                <w:b/>
              </w:rPr>
              <w:t xml:space="preserve">Time Field</w:t>
            </w:r>
          </w:p>
        </w:tc>
      </w:tr>
      <w:tr>
        <w:tc>
          <w:tcPr>
            <w:tcW w:w="1200" w:type="dxa"/>
            <w:shd w:val="clear" w:color="auto" w:fill="FFFFFF"/>
          </w:tcPr>
          <w:p>
            <w:pPr>
              <w:spacing w:after="40"/>
            </w:pPr>
            <w:r>
              <w:rPr/>
              <w:t xml:space="preserve">1</w:t>
            </w:r>
          </w:p>
        </w:tc>
        <w:tc>
          <w:tcPr>
            <w:tcW w:w="1700" w:type="dxa"/>
            <w:shd w:val="clear" w:color="auto" w:fill="FFFFFF"/>
          </w:tcPr>
          <w:p>
            <w:pPr>
              <w:spacing w:after="40"/>
            </w:pPr>
            <w:r>
              <w:rPr/>
              <w:t xml:space="preserve">field2</w:t>
            </w:r>
          </w:p>
        </w:tc>
        <w:tc>
          <w:tcPr>
            <w:tcW w:w="2100" w:type="dxa"/>
            <w:shd w:val="clear" w:color="auto" w:fill="FFFFFF"/>
          </w:tcPr>
          <w:p>
            <w:pPr>
              <w:spacing w:after="40"/>
            </w:pPr>
            <w:r>
              <w:rPr/>
              <w:t xml:space="preserve">field3</w:t>
            </w:r>
          </w:p>
        </w:tc>
        <w:tc>
          <w:tcPr>
            <w:tcW w:w="1500" w:type="dxa"/>
            <w:shd w:val="clear" w:color="auto" w:fill="FFFFFF"/>
          </w:tcPr>
          <w:p>
            <w:pPr>
              <w:spacing w:after="40"/>
            </w:pPr>
            <w:r>
              <w:rPr/>
              <w:t xml:space="preserve">field4</w:t>
            </w:r>
          </w:p>
        </w:tc>
        <w:tc>
          <w:tcPr>
            <w:tcW w:w="1500" w:type="dxa"/>
            <w:shd w:val="clear" w:color="auto" w:fill="FFFFFF"/>
          </w:tcPr>
          <w:p>
            <w:pPr>
              <w:spacing w:after="40"/>
            </w:pPr>
            <w:r>
              <w:rPr/>
              <w:t xml:space="preserve">field5</w:t>
            </w:r>
          </w:p>
        </w:tc>
      </w:tr>
      <w:tr>
        <w:tc>
          <w:tcPr>
            <w:tcW w:w="1200" w:type="dxa"/>
            <w:shd w:val="clear" w:color="auto" w:fill="F8FAFC"/>
          </w:tcPr>
          <w:p>
            <w:pPr>
              <w:spacing w:after="40"/>
            </w:pPr>
            <w:r>
              <w:rPr/>
              <w:t xml:space="preserve">2</w:t>
            </w:r>
          </w:p>
        </w:tc>
        <w:tc>
          <w:tcPr>
            <w:tcW w:w="1700" w:type="dxa"/>
            <w:shd w:val="clear" w:color="auto" w:fill="F8FAFC"/>
          </w:tcPr>
          <w:p>
            <w:pPr>
              <w:spacing w:after="40"/>
            </w:pPr>
            <w:r>
              <w:rPr/>
              <w:t xml:space="preserve">field6</w:t>
            </w:r>
          </w:p>
        </w:tc>
        <w:tc>
          <w:tcPr>
            <w:tcW w:w="2100" w:type="dxa"/>
            <w:shd w:val="clear" w:color="auto" w:fill="F8FAFC"/>
          </w:tcPr>
          <w:p>
            <w:pPr>
              <w:spacing w:after="40"/>
            </w:pPr>
            <w:r>
              <w:rPr/>
              <w:t xml:space="preserve">field7</w:t>
            </w:r>
          </w:p>
        </w:tc>
        <w:tc>
          <w:tcPr>
            <w:tcW w:w="1500" w:type="dxa"/>
            <w:shd w:val="clear" w:color="auto" w:fill="F8FAFC"/>
          </w:tcPr>
          <w:p>
            <w:pPr>
              <w:spacing w:after="40"/>
            </w:pPr>
            <w:r>
              <w:rPr/>
              <w:t xml:space="preserve">field8</w:t>
            </w:r>
          </w:p>
        </w:tc>
        <w:tc>
          <w:tcPr>
            <w:tcW w:w="1500" w:type="dxa"/>
            <w:shd w:val="clear" w:color="auto" w:fill="F8FAFC"/>
          </w:tcPr>
          <w:p>
            <w:pPr>
              <w:spacing w:after="40"/>
            </w:pPr>
            <w:r>
              <w:rPr/>
              <w:t xml:space="preserve">field9</w:t>
            </w:r>
          </w:p>
        </w:tc>
      </w:tr>
      <w:tr>
        <w:tc>
          <w:tcPr>
            <w:tcW w:w="1200" w:type="dxa"/>
            <w:shd w:val="clear" w:color="auto" w:fill="FFFFFF"/>
          </w:tcPr>
          <w:p>
            <w:pPr>
              <w:spacing w:after="40"/>
            </w:pPr>
            <w:r>
              <w:rPr/>
              <w:t xml:space="preserve">3</w:t>
            </w:r>
          </w:p>
        </w:tc>
        <w:tc>
          <w:tcPr>
            <w:tcW w:w="1700" w:type="dxa"/>
            <w:shd w:val="clear" w:color="auto" w:fill="FFFFFF"/>
          </w:tcPr>
          <w:p>
            <w:pPr>
              <w:spacing w:after="40"/>
            </w:pPr>
            <w:r>
              <w:rPr/>
              <w:t xml:space="preserve">field10</w:t>
            </w:r>
          </w:p>
        </w:tc>
        <w:tc>
          <w:tcPr>
            <w:tcW w:w="2100" w:type="dxa"/>
            <w:shd w:val="clear" w:color="auto" w:fill="FFFFFF"/>
          </w:tcPr>
          <w:p>
            <w:pPr>
              <w:spacing w:after="40"/>
            </w:pPr>
            <w:r>
              <w:rPr/>
              <w:t xml:space="preserve">field11</w:t>
            </w:r>
          </w:p>
        </w:tc>
        <w:tc>
          <w:tcPr>
            <w:tcW w:w="1500" w:type="dxa"/>
            <w:shd w:val="clear" w:color="auto" w:fill="FFFFFF"/>
          </w:tcPr>
          <w:p>
            <w:pPr>
              <w:spacing w:after="40"/>
            </w:pPr>
            <w:r>
              <w:rPr/>
              <w:t xml:space="preserve">field12</w:t>
            </w:r>
          </w:p>
        </w:tc>
        <w:tc>
          <w:tcPr>
            <w:tcW w:w="1500" w:type="dxa"/>
            <w:shd w:val="clear" w:color="auto" w:fill="FFFFFF"/>
          </w:tcPr>
          <w:p>
            <w:pPr>
              <w:spacing w:after="40"/>
            </w:pPr>
            <w:r>
              <w:rPr/>
              <w:t xml:space="preserve">field13</w:t>
            </w:r>
          </w:p>
        </w:tc>
      </w:tr>
      <w:tr>
        <w:tc>
          <w:tcPr>
            <w:tcW w:w="1200" w:type="dxa"/>
            <w:shd w:val="clear" w:color="auto" w:fill="F8FAFC"/>
          </w:tcPr>
          <w:p>
            <w:pPr>
              <w:spacing w:after="40"/>
            </w:pPr>
            <w:r>
              <w:rPr/>
              <w:t xml:space="preserve">4</w:t>
            </w:r>
          </w:p>
        </w:tc>
        <w:tc>
          <w:tcPr>
            <w:tcW w:w="1700" w:type="dxa"/>
            <w:shd w:val="clear" w:color="auto" w:fill="F8FAFC"/>
          </w:tcPr>
          <w:p>
            <w:pPr>
              <w:spacing w:after="40"/>
            </w:pPr>
            <w:r>
              <w:rPr/>
              <w:t xml:space="preserve">field14</w:t>
            </w:r>
          </w:p>
        </w:tc>
        <w:tc>
          <w:tcPr>
            <w:tcW w:w="2100" w:type="dxa"/>
            <w:shd w:val="clear" w:color="auto" w:fill="F8FAFC"/>
          </w:tcPr>
          <w:p>
            <w:pPr>
              <w:spacing w:after="40"/>
            </w:pPr>
            <w:r>
              <w:rPr/>
              <w:t xml:space="preserve">field15</w:t>
            </w:r>
          </w:p>
        </w:tc>
        <w:tc>
          <w:tcPr>
            <w:tcW w:w="1500" w:type="dxa"/>
            <w:shd w:val="clear" w:color="auto" w:fill="F8FAFC"/>
          </w:tcPr>
          <w:p>
            <w:pPr>
              <w:spacing w:after="40"/>
            </w:pPr>
            <w:r>
              <w:rPr/>
              <w:t xml:space="preserve">field16</w:t>
            </w:r>
          </w:p>
        </w:tc>
        <w:tc>
          <w:tcPr>
            <w:tcW w:w="1500" w:type="dxa"/>
            <w:shd w:val="clear" w:color="auto" w:fill="F8FAFC"/>
          </w:tcPr>
          <w:p>
            <w:pPr>
              <w:spacing w:after="40"/>
            </w:pPr>
            <w:r>
              <w:rPr/>
              <w:t xml:space="preserve">field17</w:t>
            </w:r>
          </w:p>
        </w:tc>
      </w:tr>
      <w:tr>
        <w:tc>
          <w:tcPr>
            <w:tcW w:w="1200" w:type="dxa"/>
            <w:shd w:val="clear" w:color="auto" w:fill="FFFFFF"/>
          </w:tcPr>
          <w:p>
            <w:pPr>
              <w:spacing w:after="40"/>
            </w:pPr>
            <w:r>
              <w:rPr/>
              <w:t xml:space="preserve">5</w:t>
            </w:r>
          </w:p>
        </w:tc>
        <w:tc>
          <w:tcPr>
            <w:tcW w:w="1700" w:type="dxa"/>
            <w:shd w:val="clear" w:color="auto" w:fill="FFFFFF"/>
          </w:tcPr>
          <w:p>
            <w:pPr>
              <w:spacing w:after="40"/>
            </w:pPr>
            <w:r>
              <w:rPr/>
              <w:t xml:space="preserve">field18</w:t>
            </w:r>
          </w:p>
        </w:tc>
        <w:tc>
          <w:tcPr>
            <w:tcW w:w="2100" w:type="dxa"/>
            <w:shd w:val="clear" w:color="auto" w:fill="FFFFFF"/>
          </w:tcPr>
          <w:p>
            <w:pPr>
              <w:spacing w:after="40"/>
            </w:pPr>
            <w:r>
              <w:rPr/>
              <w:t xml:space="preserve">field19</w:t>
            </w:r>
          </w:p>
        </w:tc>
        <w:tc>
          <w:tcPr>
            <w:tcW w:w="1500" w:type="dxa"/>
            <w:shd w:val="clear" w:color="auto" w:fill="FFFFFF"/>
          </w:tcPr>
          <w:p>
            <w:pPr>
              <w:spacing w:after="40"/>
            </w:pPr>
            <w:r>
              <w:rPr/>
              <w:t xml:space="preserve">field20</w:t>
            </w:r>
          </w:p>
        </w:tc>
        <w:tc>
          <w:tcPr>
            <w:tcW w:w="1500" w:type="dxa"/>
            <w:shd w:val="clear" w:color="auto" w:fill="FFFFFF"/>
          </w:tcPr>
          <w:p>
            <w:pPr>
              <w:spacing w:after="40"/>
            </w:pPr>
            <w:r>
              <w:rPr/>
              <w:t xml:space="preserve">field21</w:t>
            </w:r>
          </w:p>
        </w:tc>
      </w:tr>
      <w:tr>
        <w:tc>
          <w:tcPr>
            <w:tcW w:w="1200" w:type="dxa"/>
            <w:shd w:val="clear" w:color="auto" w:fill="F8FAFC"/>
          </w:tcPr>
          <w:p>
            <w:pPr>
              <w:spacing w:after="40"/>
            </w:pPr>
            <w:r>
              <w:rPr/>
              <w:t xml:space="preserve">6</w:t>
            </w:r>
          </w:p>
        </w:tc>
        <w:tc>
          <w:tcPr>
            <w:tcW w:w="1700" w:type="dxa"/>
            <w:shd w:val="clear" w:color="auto" w:fill="F8FAFC"/>
          </w:tcPr>
          <w:p>
            <w:pPr>
              <w:spacing w:after="40"/>
            </w:pPr>
            <w:r>
              <w:rPr/>
              <w:t xml:space="preserve">field22</w:t>
            </w:r>
          </w:p>
        </w:tc>
        <w:tc>
          <w:tcPr>
            <w:tcW w:w="2100" w:type="dxa"/>
            <w:shd w:val="clear" w:color="auto" w:fill="F8FAFC"/>
          </w:tcPr>
          <w:p>
            <w:pPr>
              <w:spacing w:after="40"/>
            </w:pPr>
            <w:r>
              <w:rPr/>
              <w:t xml:space="preserve">field23</w:t>
            </w:r>
          </w:p>
        </w:tc>
        <w:tc>
          <w:tcPr>
            <w:tcW w:w="1500" w:type="dxa"/>
            <w:shd w:val="clear" w:color="auto" w:fill="F8FAFC"/>
          </w:tcPr>
          <w:p>
            <w:pPr>
              <w:spacing w:after="40"/>
            </w:pPr>
            <w:r>
              <w:rPr/>
              <w:t xml:space="preserve">field24</w:t>
            </w:r>
          </w:p>
        </w:tc>
        <w:tc>
          <w:tcPr>
            <w:tcW w:w="1500" w:type="dxa"/>
            <w:shd w:val="clear" w:color="auto" w:fill="F8FAFC"/>
          </w:tcPr>
          <w:p>
            <w:pPr>
              <w:spacing w:after="40"/>
            </w:pPr>
            <w:r>
              <w:rPr/>
              <w:t xml:space="preserve">field25</w:t>
            </w:r>
          </w:p>
        </w:tc>
      </w:tr>
    </w:tbl>
    <w:p>
      <w:pPr>
        <w:pStyle w:val="Normal"/>
      </w:pPr>
      <w:r>
        <w:rPr/>
        <w:t xml:space="preserve">• If fewer than six comments exist for an account, the remaining slots are sent as blank strings.</w:t>
      </w:r>
    </w:p>
    <w:p>
      <w:pPr>
        <w:pStyle w:val="Normal"/>
      </w:pPr>
      <w:r>
        <w:rPr/>
        <w:t xml:space="preserve">• The verification row written back to Excel is the latest row used for that account group.</w:t>
      </w:r>
    </w:p>
    <w:p>
      <w:pPr>
        <w:pStyle w:val="Heading1"/>
      </w:pPr>
      <w:r>
        <w:rPr/>
        <w:t xml:space="preserve">5. LegalSuite Lookup and Update Logic</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800" w:type="dxa"/>
            <w:shd w:val="clear" w:color="auto" w:fill="DCE9F7"/>
          </w:tcPr>
          <w:p>
            <w:pPr>
              <w:spacing w:after="40"/>
            </w:pPr>
            <w:r>
              <w:rPr>
                <w:b/>
              </w:rPr>
              <w:t xml:space="preserve">Stage</w:t>
            </w:r>
          </w:p>
        </w:tc>
        <w:tc>
          <w:tcPr>
            <w:tcW w:w="6200" w:type="dxa"/>
            <w:shd w:val="clear" w:color="auto" w:fill="DCE9F7"/>
          </w:tcPr>
          <w:p>
            <w:pPr>
              <w:spacing w:after="40"/>
            </w:pPr>
            <w:r>
              <w:rPr>
                <w:b/>
              </w:rPr>
              <w:t xml:space="preserve">Current Behavior</w:t>
            </w:r>
          </w:p>
        </w:tc>
      </w:tr>
      <w:tr>
        <w:tc>
          <w:tcPr>
            <w:tcW w:w="2800" w:type="dxa"/>
            <w:shd w:val="clear" w:color="auto" w:fill="FFFFFF"/>
          </w:tcPr>
          <w:p>
            <w:pPr>
              <w:spacing w:after="40"/>
            </w:pPr>
            <w:r>
              <w:rPr/>
              <w:t xml:space="preserve">Matter lookup</w:t>
            </w:r>
          </w:p>
        </w:tc>
        <w:tc>
          <w:tcPr>
            <w:tcW w:w="6200" w:type="dxa"/>
            <w:shd w:val="clear" w:color="auto" w:fill="FFFFFF"/>
          </w:tcPr>
          <w:p>
            <w:pPr>
              <w:spacing w:after="40"/>
            </w:pPr>
            <w:r>
              <w:rPr/>
              <w:t xml:space="preserve">The script calls /matter/get with Matter.TheirRef = Account Number. If multiple matters are returned, it filters by region-specific FileRef prefixes and then picks the highest-ranked record.</w:t>
            </w:r>
          </w:p>
        </w:tc>
      </w:tr>
      <w:tr>
        <w:tc>
          <w:tcPr>
            <w:tcW w:w="2800" w:type="dxa"/>
            <w:shd w:val="clear" w:color="auto" w:fill="F8FAFC"/>
          </w:tcPr>
          <w:p>
            <w:pPr>
              <w:spacing w:after="40"/>
            </w:pPr>
            <w:r>
              <w:rPr/>
              <w:t xml:space="preserve">Allowed FileRef prefixes</w:t>
            </w:r>
          </w:p>
        </w:tc>
        <w:tc>
          <w:tcPr>
            <w:tcW w:w="6200" w:type="dxa"/>
            <w:shd w:val="clear" w:color="auto" w:fill="F8FAFC"/>
          </w:tcPr>
          <w:p>
            <w:pPr>
              <w:spacing w:after="40"/>
            </w:pPr>
            <w:r>
              <w:rPr/>
              <w:t xml:space="preserve">DBN-JHB accepts A0038/ and ABS697/. WC accepts ABS10/ and ABS34/.</w:t>
            </w:r>
          </w:p>
        </w:tc>
      </w:tr>
      <w:tr>
        <w:tc>
          <w:tcPr>
            <w:tcW w:w="2800" w:type="dxa"/>
            <w:shd w:val="clear" w:color="auto" w:fill="FFFFFF"/>
          </w:tcPr>
          <w:p>
            <w:pPr>
              <w:spacing w:after="40"/>
            </w:pPr>
            <w:r>
              <w:rPr/>
              <w:t xml:space="preserve">Update call</w:t>
            </w:r>
          </w:p>
        </w:tc>
        <w:tc>
          <w:tcPr>
            <w:tcW w:w="6200" w:type="dxa"/>
            <w:shd w:val="clear" w:color="auto" w:fill="FFFFFF"/>
          </w:tcPr>
          <w:p>
            <w:pPr>
              <w:spacing w:after="40"/>
            </w:pPr>
            <w:r>
              <w:rPr/>
              <w:t xml:space="preserve">The main update uses /matdocsc/update with matterid, docscreenid, and the prepared field payload.</w:t>
            </w:r>
          </w:p>
        </w:tc>
      </w:tr>
      <w:tr>
        <w:tc>
          <w:tcPr>
            <w:tcW w:w="2800" w:type="dxa"/>
            <w:shd w:val="clear" w:color="auto" w:fill="F8FAFC"/>
          </w:tcPr>
          <w:p>
            <w:pPr>
              <w:spacing w:after="40"/>
            </w:pPr>
            <w:r>
              <w:rPr/>
              <w:t xml:space="preserve">Store fallback</w:t>
            </w:r>
          </w:p>
        </w:tc>
        <w:tc>
          <w:tcPr>
            <w:tcW w:w="6200" w:type="dxa"/>
            <w:shd w:val="clear" w:color="auto" w:fill="F8FAFC"/>
          </w:tcPr>
          <w:p>
            <w:pPr>
              <w:spacing w:after="40"/>
            </w:pPr>
            <w:r>
              <w:rPr/>
              <w:t xml:space="preserve">If verification is enabled and no extrascreen row is returned after update, the script tries /matdocsc/store when there was no pre-existing GET row.</w:t>
            </w:r>
          </w:p>
        </w:tc>
      </w:tr>
      <w:tr>
        <w:tc>
          <w:tcPr>
            <w:tcW w:w="2800" w:type="dxa"/>
            <w:shd w:val="clear" w:color="auto" w:fill="FFFFFF"/>
          </w:tcPr>
          <w:p>
            <w:pPr>
              <w:spacing w:after="40"/>
            </w:pPr>
            <w:r>
              <w:rPr/>
              <w:t xml:space="preserve">Retry handling</w:t>
            </w:r>
          </w:p>
        </w:tc>
        <w:tc>
          <w:tcPr>
            <w:tcW w:w="6200" w:type="dxa"/>
            <w:shd w:val="clear" w:color="auto" w:fill="FFFFFF"/>
          </w:tcPr>
          <w:p>
            <w:pPr>
              <w:spacing w:after="40"/>
            </w:pPr>
            <w:r>
              <w:rPr/>
              <w:t xml:space="preserve">HTTP/timeout/network failures retry up to 3 attempts with delays of 2s and 5s for retryable failures.</w:t>
            </w:r>
          </w:p>
        </w:tc>
      </w:tr>
    </w:tbl>
    <w:p>
      <w:pPr>
        <w:pStyle w:val="Normal"/>
      </w:pPr>
      <w:r>
        <w:rPr/>
        <w:t xml:space="preserve">• Missing API clients, missing matters, missing matter IDs, HTTP errors, and verification mismatches are all reported as failures.</w:t>
      </w:r>
    </w:p>
    <w:p>
      <w:pPr>
        <w:pStyle w:val="Normal"/>
      </w:pPr>
      <w:r>
        <w:rPr/>
        <w:t xml:space="preserve">• In --dry-run mode, payloads are prepared and matter lookup still happens, but no LegalSuite update is posted.</w:t>
      </w:r>
    </w:p>
    <w:p>
      <w:pPr>
        <w:pStyle w:val="Heading1"/>
      </w:pPr>
      <w:r>
        <w:rPr/>
        <w:t xml:space="preserve">6. Verification Workbook Process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800" w:type="dxa"/>
            <w:shd w:val="clear" w:color="auto" w:fill="DCE9F7"/>
          </w:tcPr>
          <w:p>
            <w:pPr>
              <w:spacing w:after="40"/>
            </w:pPr>
            <w:r>
              <w:rPr>
                <w:b/>
              </w:rPr>
              <w:t xml:space="preserve">Output</w:t>
            </w:r>
          </w:p>
        </w:tc>
        <w:tc>
          <w:tcPr>
            <w:tcW w:w="6200" w:type="dxa"/>
            <w:shd w:val="clear" w:color="auto" w:fill="DCE9F7"/>
          </w:tcPr>
          <w:p>
            <w:pPr>
              <w:spacing w:after="40"/>
            </w:pPr>
            <w:r>
              <w:rPr>
                <w:b/>
              </w:rPr>
              <w:t xml:space="preserve">Current Behavior</w:t>
            </w:r>
          </w:p>
        </w:tc>
      </w:tr>
      <w:tr>
        <w:tc>
          <w:tcPr>
            <w:tcW w:w="2800" w:type="dxa"/>
            <w:shd w:val="clear" w:color="auto" w:fill="FFFFFF"/>
          </w:tcPr>
          <w:p>
            <w:pPr>
              <w:spacing w:after="40"/>
            </w:pPr>
            <w:r>
              <w:rPr/>
              <w:t xml:space="preserve">Workbook copy</w:t>
            </w:r>
          </w:p>
        </w:tc>
        <w:tc>
          <w:tcPr>
            <w:tcW w:w="6200" w:type="dxa"/>
            <w:shd w:val="clear" w:color="auto" w:fill="FFFFFF"/>
          </w:tcPr>
          <w:p>
            <w:pPr>
              <w:spacing w:after="40"/>
            </w:pPr>
            <w:r>
              <w:rPr/>
              <w:t xml:space="preserve">Each source workbook is copied into verification_absa/ using the same relative path under downloads_absa/.</w:t>
            </w:r>
          </w:p>
        </w:tc>
      </w:tr>
      <w:tr>
        <w:tc>
          <w:tcPr>
            <w:tcW w:w="2800" w:type="dxa"/>
            <w:shd w:val="clear" w:color="auto" w:fill="F8FAFC"/>
          </w:tcPr>
          <w:p>
            <w:pPr>
              <w:spacing w:after="40"/>
            </w:pPr>
            <w:r>
              <w:rPr/>
              <w:t xml:space="preserve">Added columns</w:t>
            </w:r>
          </w:p>
        </w:tc>
        <w:tc>
          <w:tcPr>
            <w:tcW w:w="6200" w:type="dxa"/>
            <w:shd w:val="clear" w:color="auto" w:fill="F8FAFC"/>
          </w:tcPr>
          <w:p>
            <w:pPr>
              <w:spacing w:after="40"/>
            </w:pPr>
            <w:r>
              <w:rPr/>
              <w:t xml:space="preserve">Verification Status, Verification Timestamp, Verification Notes, Verification GET Response, plus dynamic Verified fieldN columns and matter/account metadata columns.</w:t>
            </w:r>
          </w:p>
        </w:tc>
      </w:tr>
      <w:tr>
        <w:tc>
          <w:tcPr>
            <w:tcW w:w="2800" w:type="dxa"/>
            <w:shd w:val="clear" w:color="auto" w:fill="FFFFFF"/>
          </w:tcPr>
          <w:p>
            <w:pPr>
              <w:spacing w:after="40"/>
            </w:pPr>
            <w:r>
              <w:rPr/>
              <w:t xml:space="preserve">Row target</w:t>
            </w:r>
          </w:p>
        </w:tc>
        <w:tc>
          <w:tcPr>
            <w:tcW w:w="6200" w:type="dxa"/>
            <w:shd w:val="clear" w:color="auto" w:fill="FFFFFF"/>
          </w:tcPr>
          <w:p>
            <w:pPr>
              <w:spacing w:after="40"/>
            </w:pPr>
            <w:r>
              <w:rPr/>
              <w:t xml:space="preserve">The script writes verification results back to the chosen worksheet row for the account update.</w:t>
            </w:r>
          </w:p>
        </w:tc>
      </w:tr>
      <w:tr>
        <w:tc>
          <w:tcPr>
            <w:tcW w:w="2800" w:type="dxa"/>
            <w:shd w:val="clear" w:color="auto" w:fill="F8FAFC"/>
          </w:tcPr>
          <w:p>
            <w:pPr>
              <w:spacing w:after="40"/>
            </w:pPr>
            <w:r>
              <w:rPr/>
              <w:t xml:space="preserve">Success states</w:t>
            </w:r>
          </w:p>
        </w:tc>
        <w:tc>
          <w:tcPr>
            <w:tcW w:w="6200" w:type="dxa"/>
            <w:shd w:val="clear" w:color="auto" w:fill="F8FAFC"/>
          </w:tcPr>
          <w:p>
            <w:pPr>
              <w:spacing w:after="40"/>
            </w:pPr>
            <w:r>
              <w:rPr/>
              <w:t xml:space="preserve">Verified, Updated, and Dry Run can be written depending on runtime flags and GET verification results.</w:t>
            </w:r>
          </w:p>
        </w:tc>
      </w:tr>
      <w:tr>
        <w:tc>
          <w:tcPr>
            <w:tcW w:w="2800" w:type="dxa"/>
            <w:shd w:val="clear" w:color="auto" w:fill="FFFFFF"/>
          </w:tcPr>
          <w:p>
            <w:pPr>
              <w:spacing w:after="40"/>
            </w:pPr>
            <w:r>
              <w:rPr/>
              <w:t xml:space="preserve">Failure states</w:t>
            </w:r>
          </w:p>
        </w:tc>
        <w:tc>
          <w:tcPr>
            <w:tcW w:w="6200" w:type="dxa"/>
            <w:shd w:val="clear" w:color="auto" w:fill="FFFFFF"/>
          </w:tcPr>
          <w:p>
            <w:pPr>
              <w:spacing w:after="40"/>
            </w:pPr>
            <w:r>
              <w:rPr/>
              <w:t xml:space="preserve">Failed, Mismatch, and Missing GET data are written with notes and any fetched response payload.</w:t>
            </w:r>
          </w:p>
        </w:tc>
      </w:tr>
    </w:tbl>
    <w:p>
      <w:pPr>
        <w:pStyle w:val="Heading1"/>
      </w:pPr>
      <w:r>
        <w:rPr/>
        <w:t xml:space="preserve">7. JSON Reporting Output</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000" w:type="dxa"/>
            <w:shd w:val="clear" w:color="auto" w:fill="DCE9F7"/>
          </w:tcPr>
          <w:p>
            <w:pPr>
              <w:spacing w:after="40"/>
            </w:pPr>
            <w:r>
              <w:rPr>
                <w:b/>
              </w:rPr>
              <w:t xml:space="preserve">Report Field</w:t>
            </w:r>
          </w:p>
        </w:tc>
        <w:tc>
          <w:tcPr>
            <w:tcW w:w="6000" w:type="dxa"/>
            <w:shd w:val="clear" w:color="auto" w:fill="DCE9F7"/>
          </w:tcPr>
          <w:p>
            <w:pPr>
              <w:spacing w:after="40"/>
            </w:pPr>
            <w:r>
              <w:rPr>
                <w:b/>
              </w:rPr>
              <w:t xml:space="preserve">Current Behavior</w:t>
            </w:r>
          </w:p>
        </w:tc>
      </w:tr>
      <w:tr>
        <w:tc>
          <w:tcPr>
            <w:tcW w:w="3000" w:type="dxa"/>
            <w:shd w:val="clear" w:color="auto" w:fill="FFFFFF"/>
          </w:tcPr>
          <w:p>
            <w:pPr>
              <w:spacing w:after="40"/>
            </w:pPr>
            <w:r>
              <w:rPr/>
              <w:t xml:space="preserve">Default path</w:t>
            </w:r>
          </w:p>
        </w:tc>
        <w:tc>
          <w:tcPr>
            <w:tcW w:w="6000" w:type="dxa"/>
            <w:shd w:val="clear" w:color="auto" w:fill="FFFFFF"/>
          </w:tcPr>
          <w:p>
            <w:pPr>
              <w:spacing w:after="40"/>
            </w:pPr>
            <w:r>
              <w:rPr/>
              <w:t xml:space="preserve">downloads_absa/_reports/absa_home_loan_extrascreen_update_YYYYMMDD.json</w:t>
            </w:r>
          </w:p>
        </w:tc>
      </w:tr>
      <w:tr>
        <w:tc>
          <w:tcPr>
            <w:tcW w:w="3000" w:type="dxa"/>
            <w:shd w:val="clear" w:color="auto" w:fill="F8FAFC"/>
          </w:tcPr>
          <w:p>
            <w:pPr>
              <w:spacing w:after="40"/>
            </w:pPr>
            <w:r>
              <w:rPr/>
              <w:t xml:space="preserve">Top-level summary</w:t>
            </w:r>
          </w:p>
        </w:tc>
        <w:tc>
          <w:tcPr>
            <w:tcW w:w="6000" w:type="dxa"/>
            <w:shd w:val="clear" w:color="auto" w:fill="F8FAFC"/>
          </w:tcPr>
          <w:p>
            <w:pPr>
              <w:spacing w:after="40"/>
            </w:pPr>
            <w:r>
              <w:rPr/>
              <w:t xml:space="preserve">Stores date, absolute download/verification directories, dry-run flag, download problems, prepared update count, success count, failure count, and verification workbook paths.</w:t>
            </w:r>
          </w:p>
        </w:tc>
      </w:tr>
      <w:tr>
        <w:tc>
          <w:tcPr>
            <w:tcW w:w="3000" w:type="dxa"/>
            <w:shd w:val="clear" w:color="auto" w:fill="FFFFFF"/>
          </w:tcPr>
          <w:p>
            <w:pPr>
              <w:spacing w:after="40"/>
            </w:pPr>
            <w:r>
              <w:rPr/>
              <w:t xml:space="preserve">Per-result detail</w:t>
            </w:r>
          </w:p>
        </w:tc>
        <w:tc>
          <w:tcPr>
            <w:tcW w:w="6000" w:type="dxa"/>
            <w:shd w:val="clear" w:color="auto" w:fill="FFFFFF"/>
          </w:tcPr>
          <w:p>
            <w:pPr>
              <w:spacing w:after="40"/>
            </w:pPr>
            <w:r>
              <w:rPr/>
              <w:t xml:space="preserve">Each processed account includes status, reason when failed, screen id, region, source file, matter id when known, API responses, and mismatch detail when relevant.</w:t>
            </w:r>
          </w:p>
        </w:tc>
      </w:tr>
    </w:tbl>
    <w:p>
      <w:pPr>
        <w:pStyle w:val="Heading1"/>
      </w:pPr>
      <w:r>
        <w:rPr/>
        <w:t xml:space="preserve">8. Main Command-Line Features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800" w:type="dxa"/>
            <w:shd w:val="clear" w:color="auto" w:fill="DCE9F7"/>
          </w:tcPr>
          <w:p>
            <w:pPr>
              <w:spacing w:after="40"/>
            </w:pPr>
            <w:r>
              <w:rPr>
                <w:b/>
              </w:rPr>
              <w:t xml:space="preserve">Flag</w:t>
            </w:r>
          </w:p>
        </w:tc>
        <w:tc>
          <w:tcPr>
            <w:tcW w:w="6200" w:type="dxa"/>
            <w:shd w:val="clear" w:color="auto" w:fill="DCE9F7"/>
          </w:tcPr>
          <w:p>
            <w:pPr>
              <w:spacing w:after="40"/>
            </w:pPr>
            <w:r>
              <w:rPr>
                <w:b/>
              </w:rPr>
              <w:t xml:space="preserve">Meaning</w:t>
            </w:r>
          </w:p>
        </w:tc>
      </w:tr>
      <w:tr>
        <w:tc>
          <w:tcPr>
            <w:tcW w:w="2800" w:type="dxa"/>
            <w:shd w:val="clear" w:color="auto" w:fill="FFFFFF"/>
          </w:tcPr>
          <w:p>
            <w:pPr>
              <w:spacing w:after="40"/>
            </w:pPr>
            <w:r>
              <w:rPr/>
              <w:t xml:space="preserve">--date YYYYMMDD</w:t>
            </w:r>
          </w:p>
        </w:tc>
        <w:tc>
          <w:tcPr>
            <w:tcW w:w="6200" w:type="dxa"/>
            <w:shd w:val="clear" w:color="auto" w:fill="FFFFFF"/>
          </w:tcPr>
          <w:p>
            <w:pPr>
              <w:spacing w:after="40"/>
            </w:pPr>
            <w:r>
              <w:rPr/>
              <w:t xml:space="preserve">Process a specific date instead of today.</w:t>
            </w:r>
          </w:p>
        </w:tc>
      </w:tr>
      <w:tr>
        <w:tc>
          <w:tcPr>
            <w:tcW w:w="2800" w:type="dxa"/>
            <w:shd w:val="clear" w:color="auto" w:fill="F8FAFC"/>
          </w:tcPr>
          <w:p>
            <w:pPr>
              <w:spacing w:after="40"/>
            </w:pPr>
            <w:r>
              <w:rPr/>
              <w:t xml:space="preserve">--days-ago N / --day-N</w:t>
            </w:r>
          </w:p>
        </w:tc>
        <w:tc>
          <w:tcPr>
            <w:tcW w:w="6200" w:type="dxa"/>
            <w:shd w:val="clear" w:color="auto" w:fill="F8FAFC"/>
          </w:tcPr>
          <w:p>
            <w:pPr>
              <w:spacing w:after="40"/>
            </w:pPr>
            <w:r>
              <w:rPr/>
              <w:t xml:space="preserve">Process N days back. The shorthand --day-1 becomes --days-ago 1.</w:t>
            </w:r>
          </w:p>
        </w:tc>
      </w:tr>
      <w:tr>
        <w:tc>
          <w:tcPr>
            <w:tcW w:w="2800" w:type="dxa"/>
            <w:shd w:val="clear" w:color="auto" w:fill="FFFFFF"/>
          </w:tcPr>
          <w:p>
            <w:pPr>
              <w:spacing w:after="40"/>
            </w:pPr>
            <w:r>
              <w:rPr/>
              <w:t xml:space="preserve">--only all|comments|ptp</w:t>
            </w:r>
          </w:p>
        </w:tc>
        <w:tc>
          <w:tcPr>
            <w:tcW w:w="6200" w:type="dxa"/>
            <w:shd w:val="clear" w:color="auto" w:fill="FFFFFF"/>
          </w:tcPr>
          <w:p>
            <w:pPr>
              <w:spacing w:after="40"/>
            </w:pPr>
            <w:r>
              <w:rPr/>
              <w:t xml:space="preserve">Limit the run to both file types or just one branch.</w:t>
            </w:r>
          </w:p>
        </w:tc>
      </w:tr>
      <w:tr>
        <w:tc>
          <w:tcPr>
            <w:tcW w:w="2800" w:type="dxa"/>
            <w:shd w:val="clear" w:color="auto" w:fill="F8FAFC"/>
          </w:tcPr>
          <w:p>
            <w:pPr>
              <w:spacing w:after="40"/>
            </w:pPr>
            <w:r>
              <w:rPr/>
              <w:t xml:space="preserve">--skip-download</w:t>
            </w:r>
          </w:p>
        </w:tc>
        <w:tc>
          <w:tcPr>
            <w:tcW w:w="6200" w:type="dxa"/>
            <w:shd w:val="clear" w:color="auto" w:fill="F8FAFC"/>
          </w:tcPr>
          <w:p>
            <w:pPr>
              <w:spacing w:after="40"/>
            </w:pPr>
            <w:r>
              <w:rPr/>
              <w:t xml:space="preserve">Do not connect to FTP; reuse existing local files.</w:t>
            </w:r>
          </w:p>
        </w:tc>
      </w:tr>
      <w:tr>
        <w:tc>
          <w:tcPr>
            <w:tcW w:w="2800" w:type="dxa"/>
            <w:shd w:val="clear" w:color="auto" w:fill="FFFFFF"/>
          </w:tcPr>
          <w:p>
            <w:pPr>
              <w:spacing w:after="40"/>
            </w:pPr>
            <w:r>
              <w:rPr/>
              <w:t xml:space="preserve">--dry-run</w:t>
            </w:r>
          </w:p>
        </w:tc>
        <w:tc>
          <w:tcPr>
            <w:tcW w:w="6200" w:type="dxa"/>
            <w:shd w:val="clear" w:color="auto" w:fill="FFFFFF"/>
          </w:tcPr>
          <w:p>
            <w:pPr>
              <w:spacing w:after="40"/>
            </w:pPr>
            <w:r>
              <w:rPr/>
              <w:t xml:space="preserve">Prepare payloads and verify matter lookup without calling LegalSuite update/store.</w:t>
            </w:r>
          </w:p>
        </w:tc>
      </w:tr>
      <w:tr>
        <w:tc>
          <w:tcPr>
            <w:tcW w:w="2800" w:type="dxa"/>
            <w:shd w:val="clear" w:color="auto" w:fill="F8FAFC"/>
          </w:tcPr>
          <w:p>
            <w:pPr>
              <w:spacing w:after="40"/>
            </w:pPr>
            <w:r>
              <w:rPr/>
              <w:t xml:space="preserve">--no-verify</w:t>
            </w:r>
          </w:p>
        </w:tc>
        <w:tc>
          <w:tcPr>
            <w:tcW w:w="6200" w:type="dxa"/>
            <w:shd w:val="clear" w:color="auto" w:fill="F8FAFC"/>
          </w:tcPr>
          <w:p>
            <w:pPr>
              <w:spacing w:after="40"/>
            </w:pPr>
            <w:r>
              <w:rPr/>
              <w:t xml:space="preserve">Skip the post-update GET comparison stage.</w:t>
            </w:r>
          </w:p>
        </w:tc>
      </w:tr>
      <w:tr>
        <w:tc>
          <w:tcPr>
            <w:tcW w:w="2800" w:type="dxa"/>
            <w:shd w:val="clear" w:color="auto" w:fill="FFFFFF"/>
          </w:tcPr>
          <w:p>
            <w:pPr>
              <w:spacing w:after="40"/>
            </w:pPr>
            <w:r>
              <w:rPr/>
              <w:t xml:space="preserve">--report-json PATH</w:t>
            </w:r>
          </w:p>
        </w:tc>
        <w:tc>
          <w:tcPr>
            <w:tcW w:w="6200" w:type="dxa"/>
            <w:shd w:val="clear" w:color="auto" w:fill="FFFFFF"/>
          </w:tcPr>
          <w:p>
            <w:pPr>
              <w:spacing w:after="40"/>
            </w:pPr>
            <w:r>
              <w:rPr/>
              <w:t xml:space="preserve">Override the default JSON report path.</w:t>
            </w:r>
          </w:p>
        </w:tc>
      </w:tr>
      <w:tr>
        <w:tc>
          <w:tcPr>
            <w:tcW w:w="2800" w:type="dxa"/>
            <w:shd w:val="clear" w:color="auto" w:fill="F8FAFC"/>
          </w:tcPr>
          <w:p>
            <w:pPr>
              <w:spacing w:after="40"/>
            </w:pPr>
            <w:r>
              <w:rPr/>
              <w:t xml:space="preserve">--download-dir / --verification-dir</w:t>
            </w:r>
          </w:p>
        </w:tc>
        <w:tc>
          <w:tcPr>
            <w:tcW w:w="6200" w:type="dxa"/>
            <w:shd w:val="clear" w:color="auto" w:fill="F8FAFC"/>
          </w:tcPr>
          <w:p>
            <w:pPr>
              <w:spacing w:after="40"/>
            </w:pPr>
            <w:r>
              <w:rPr/>
              <w:t xml:space="preserve">Override the local base folders for downloads and verification workbooks.</w:t>
            </w:r>
          </w:p>
        </w:tc>
      </w:tr>
      <w:tr>
        <w:tc>
          <w:tcPr>
            <w:tcW w:w="2800" w:type="dxa"/>
            <w:shd w:val="clear" w:color="auto" w:fill="FFFFFF"/>
          </w:tcPr>
          <w:p>
            <w:pPr>
              <w:spacing w:after="40"/>
            </w:pPr>
            <w:r>
              <w:rPr/>
              <w:t xml:space="preserve">--env-file / --api-base / --timeout</w:t>
            </w:r>
          </w:p>
        </w:tc>
        <w:tc>
          <w:tcPr>
            <w:tcW w:w="6200" w:type="dxa"/>
            <w:shd w:val="clear" w:color="auto" w:fill="FFFFFF"/>
          </w:tcPr>
          <w:p>
            <w:pPr>
              <w:spacing w:after="40"/>
            </w:pPr>
            <w:r>
              <w:rPr/>
              <w:t xml:space="preserve">Override environment file path, LegalSuite API base URL, or FTP timeout.</w:t>
            </w:r>
          </w:p>
        </w:tc>
      </w:tr>
    </w:tbl>
    <w:p>
      <w:pPr>
        <w:pStyle w:val="Heading1"/>
      </w:pPr>
      <w:r>
        <w:rPr/>
        <w:t xml:space="preserve">9. Example Commands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200" w:type="dxa"/>
            <w:shd w:val="clear" w:color="auto" w:fill="DCE9F7"/>
          </w:tcPr>
          <w:p>
            <w:pPr>
              <w:spacing w:after="40"/>
            </w:pPr>
            <w:r>
              <w:rPr>
                <w:b/>
              </w:rPr>
              <w:t xml:space="preserve">Use Case</w:t>
            </w:r>
          </w:p>
        </w:tc>
        <w:tc>
          <w:tcPr>
            <w:tcW w:w="5800" w:type="dxa"/>
            <w:shd w:val="clear" w:color="auto" w:fill="DCE9F7"/>
          </w:tcPr>
          <w:p>
            <w:pPr>
              <w:spacing w:after="40"/>
            </w:pPr>
            <w:r>
              <w:rPr>
                <w:b/>
              </w:rPr>
              <w:t xml:space="preserve">Command</w:t>
            </w:r>
          </w:p>
        </w:tc>
      </w:tr>
      <w:tr>
        <w:tc>
          <w:tcPr>
            <w:tcW w:w="3200" w:type="dxa"/>
            <w:shd w:val="clear" w:color="auto" w:fill="FFFFFF"/>
          </w:tcPr>
          <w:p>
            <w:pPr>
              <w:spacing w:after="40"/>
            </w:pPr>
            <w:r>
              <w:rPr/>
              <w:t xml:space="preserve">Full selected-date run from FTP</w:t>
            </w:r>
          </w:p>
        </w:tc>
        <w:tc>
          <w:tcPr>
            <w:tcW w:w="5800" w:type="dxa"/>
            <w:shd w:val="clear" w:color="auto" w:fill="FFFFFF"/>
          </w:tcPr>
          <w:p>
            <w:pPr>
              <w:spacing w:after="40"/>
            </w:pPr>
            <w:r>
              <w:rPr/>
              <w:t xml:space="preserve">python3 absa_home_loan_extrascreen_update.py</w:t>
            </w:r>
          </w:p>
        </w:tc>
      </w:tr>
      <w:tr>
        <w:tc>
          <w:tcPr>
            <w:tcW w:w="3200" w:type="dxa"/>
            <w:shd w:val="clear" w:color="auto" w:fill="F8FAFC"/>
          </w:tcPr>
          <w:p>
            <w:pPr>
              <w:spacing w:after="40"/>
            </w:pPr>
            <w:r>
              <w:rPr/>
              <w:t xml:space="preserve">Yesterday only for comments</w:t>
            </w:r>
          </w:p>
        </w:tc>
        <w:tc>
          <w:tcPr>
            <w:tcW w:w="5800" w:type="dxa"/>
            <w:shd w:val="clear" w:color="auto" w:fill="F8FAFC"/>
          </w:tcPr>
          <w:p>
            <w:pPr>
              <w:spacing w:after="40"/>
            </w:pPr>
            <w:r>
              <w:rPr/>
              <w:t xml:space="preserve">python3 absa_home_loan_extrascreen_update.py --day-1 --only comments</w:t>
            </w:r>
          </w:p>
        </w:tc>
      </w:tr>
      <w:tr>
        <w:tc>
          <w:tcPr>
            <w:tcW w:w="3200" w:type="dxa"/>
            <w:shd w:val="clear" w:color="auto" w:fill="FFFFFF"/>
          </w:tcPr>
          <w:p>
            <w:pPr>
              <w:spacing w:after="40"/>
            </w:pPr>
            <w:r>
              <w:rPr/>
              <w:t xml:space="preserve">Reuse local downloads only</w:t>
            </w:r>
          </w:p>
        </w:tc>
        <w:tc>
          <w:tcPr>
            <w:tcW w:w="5800" w:type="dxa"/>
            <w:shd w:val="clear" w:color="auto" w:fill="FFFFFF"/>
          </w:tcPr>
          <w:p>
            <w:pPr>
              <w:spacing w:after="40"/>
            </w:pPr>
            <w:r>
              <w:rPr/>
              <w:t xml:space="preserve">python3 absa_home_loan_extrascreen_update.py --skip-download</w:t>
            </w:r>
          </w:p>
        </w:tc>
      </w:tr>
      <w:tr>
        <w:tc>
          <w:tcPr>
            <w:tcW w:w="3200" w:type="dxa"/>
            <w:shd w:val="clear" w:color="auto" w:fill="F8FAFC"/>
          </w:tcPr>
          <w:p>
            <w:pPr>
              <w:spacing w:after="40"/>
            </w:pPr>
            <w:r>
              <w:rPr/>
              <w:t xml:space="preserve">Dry-run PTP processing</w:t>
            </w:r>
          </w:p>
        </w:tc>
        <w:tc>
          <w:tcPr>
            <w:tcW w:w="5800" w:type="dxa"/>
            <w:shd w:val="clear" w:color="auto" w:fill="F8FAFC"/>
          </w:tcPr>
          <w:p>
            <w:pPr>
              <w:spacing w:after="40"/>
            </w:pPr>
            <w:r>
              <w:rPr/>
              <w:t xml:space="preserve">python3 absa_home_loan_extrascreen_update.py --skip-download --only ptp --dry-run</w:t>
            </w:r>
          </w:p>
        </w:tc>
      </w:tr>
      <w:tr>
        <w:tc>
          <w:tcPr>
            <w:tcW w:w="3200" w:type="dxa"/>
            <w:shd w:val="clear" w:color="auto" w:fill="FFFFFF"/>
          </w:tcPr>
          <w:p>
            <w:pPr>
              <w:spacing w:after="40"/>
            </w:pPr>
            <w:r>
              <w:rPr/>
              <w:t xml:space="preserve">Update without GET verification</w:t>
            </w:r>
          </w:p>
        </w:tc>
        <w:tc>
          <w:tcPr>
            <w:tcW w:w="5800" w:type="dxa"/>
            <w:shd w:val="clear" w:color="auto" w:fill="FFFFFF"/>
          </w:tcPr>
          <w:p>
            <w:pPr>
              <w:spacing w:after="40"/>
            </w:pPr>
            <w:r>
              <w:rPr/>
              <w:t xml:space="preserve">python3 absa_home_loan_extrascreen_update.py --skip-download --no-verify</w:t>
            </w:r>
          </w:p>
        </w:tc>
      </w:tr>
    </w:tbl>
    <w:p>
      <w:pPr>
        <w:pStyle w:val="Heading1"/>
      </w:pPr>
      <w:r>
        <w:rPr/>
        <w:t xml:space="preserve">10. Operational Prerequisites</w:t>
      </w:r>
    </w:p>
    <w:p>
      <w:pPr>
        <w:pStyle w:val="Normal"/>
      </w:pPr>
      <w:r>
        <w:rPr/>
        <w:t xml:space="preserve">• FTP_HOST, FTP_USER, and FTP_PASS are required unless --skip-download is used with already-downloaded files.</w:t>
      </w:r>
    </w:p>
    <w:p>
      <w:pPr>
        <w:pStyle w:val="Normal"/>
      </w:pPr>
      <w:r>
        <w:rPr/>
        <w:t xml:space="preserve">• LEGALSUITE_API_KEY is required for DBN-JHB updates.</w:t>
      </w:r>
    </w:p>
    <w:p>
      <w:pPr>
        <w:pStyle w:val="Normal"/>
      </w:pPr>
      <w:r>
        <w:rPr/>
        <w:t xml:space="preserve">• LEGALSUITE_WC_API_KEY is required for WC updates.</w:t>
      </w:r>
    </w:p>
    <w:p>
      <w:pPr>
        <w:pStyle w:val="Normal"/>
      </w:pPr>
      <w:r>
        <w:rPr/>
        <w:t xml:space="preserve">• openpyxl is required for workbook parsing and verification workbook output.</w:t>
      </w:r>
    </w:p>
    <w:p>
      <w:pPr>
        <w:pStyle w:val="Normal"/>
      </w:pPr>
      <w:r>
        <w:rPr/>
        <w:t xml:space="preserve">• The script expects ABSA source workbooks to preserve the required header names described above.</w:t>
      </w:r>
    </w:p>
    <w:p>
      <w:pPr>
        <w:pStyle w:val="Normal"/>
      </w:pPr>
      <w:r>
        <w:rPr/>
        <w:t xml:space="preserve">In short: the current script is a focused ABSA extrascreen updater. It downloads or reuses daily Comments and PTP workbooks, converts grouped worksheet rows into LegalSuite extrascreen payloads, updates the correct regional screens, verifies the posted values back from LegalSuite, and preserves evidence in verification workbooks and a JSON run report.</w:t>
      </w:r>
    </w:p>
    <w:sectPr>
      <w:pgSz w:w="11906" w:h="16838"/>
      <w:pgMar w:top="1000" w:right="900" w:bottom="1000" w:left="900" w:header="708" w:footer="708" w:gutter="0"/>
    </w:sectPr>
  </w:body>
</w:document>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qFormat/>
    <w:pPr>
      <w:spacing w:after="100" w:line="276" w:lineRule="auto"/>
    </w:pPr>
    <w:rPr>
      <w:rFonts w:ascii="Arial" w:hAnsi="Arial" w:cs="Arial"/>
      <w:sz w:val="22"/>
      <w:szCs w:val="22"/>
      <w:color w:val="1F2937"/>
    </w:rPr>
  </w:style>
  <w:style w:type="paragraph" w:styleId="Title">
    <w:name w:val="Title"/>
    <w:basedOn w:val="Normal"/>
    <w:qFormat/>
    <w:pPr>
      <w:spacing w:after="180"/>
    </w:pPr>
    <w:rPr>
      <w:b/>
      <w:color w:val="0F172A"/>
      <w:sz w:val="36"/>
      <w:szCs w:val="36"/>
    </w:rPr>
  </w:style>
  <w:style w:type="paragraph" w:styleId="Heading1">
    <w:name w:val="heading 1"/>
    <w:basedOn w:val="Normal"/>
    <w:qFormat/>
    <w:pPr>
      <w:spacing w:before="220" w:after="120"/>
    </w:pPr>
    <w:rPr>
      <w:b/>
      <w:color w:val="0F4C81"/>
      <w:sz w:val="28"/>
      <w:szCs w:val="28"/>
    </w:rPr>
  </w:style>
  <w:style w:type="paragraph" w:styleId="Heading2">
    <w:name w:val="heading 2"/>
    <w:basedOn w:val="Normal"/>
    <w:qFormat/>
    <w:pPr>
      <w:spacing w:before="160" w:after="80"/>
    </w:pPr>
    <w:rPr>
      <w:b/>
      <w:color w:val="1D3557"/>
      <w:sz w:val="24"/>
      <w:szCs w:val="24"/>
    </w:rPr>
  </w:style>
  <w:style w:type="paragraph" w:styleId="Heading3">
    <w:name w:val="heading 3"/>
    <w:basedOn w:val="Normal"/>
    <w:qFormat/>
    <w:pPr>
      <w:spacing w:before="120" w:after="60"/>
    </w:pPr>
    <w:rPr>
      <w:b/>
      <w:color w:val="334155"/>
      <w:sz w:val="22"/>
      <w:szCs w:val="22"/>
    </w:rPr>
  </w:style>
  <w:style w:type="paragraph" w:styleId="CodeBlock">
    <w:name w:val="CodeBlock"/>
    <w:basedOn w:val="Normal"/>
    <w:pPr>
      <w:spacing w:before="40" w:after="40"/>
      <w:ind w:left="260" w:right="260"/>
      <w:shd w:val="clear" w:color="auto" w:fill="EAF1FB"/>
    </w:pPr>
    <w:rPr>
      <w:rFonts w:ascii="Consolas" w:hAnsi="Consolas" w:cs="Consolas"/>
      <w:color w:val="0B1220"/>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Process Flow 2</dc:title>
  <dc:creator>Codex</dc:creator>
  <cp:lastModifiedBy>Codex</cp:lastModifiedBy>
</cp:coreProperties>
</file>