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before="240" w:after="120"/>
        <w:ind w:hanging="0" w:left="0" w:right="0"/>
        <w:jc w:val="left"/>
        <w:rPr>
          <w:rFonts w:ascii="Arial;Helvetica;sans-serif" w:hAnsi="Arial;Helvetica;sans-serif"/>
          <w:b w:val="false"/>
          <w:i w:val="false"/>
          <w:caps w:val="false"/>
          <w:smallCaps w:val="false"/>
          <w:color w:val="0F172A"/>
          <w:spacing w:val="0"/>
          <w:sz w:val="44"/>
        </w:rPr>
      </w:pPr>
      <w:r>
        <w:rPr>
          <w:rFonts w:ascii="Arial;Helvetica;sans-serif" w:hAnsi="Arial;Helvetica;sans-serif"/>
          <w:b w:val="false"/>
          <w:i w:val="false"/>
          <w:caps w:val="false"/>
          <w:smallCaps w:val="false"/>
          <w:color w:val="0F172A"/>
          <w:spacing w:val="0"/>
          <w:sz w:val="44"/>
        </w:rPr>
        <w:t>Strauss Recovery Solutions</w:t>
      </w:r>
    </w:p>
    <w:p>
      <w:pPr>
        <w:pStyle w:val="BodyText"/>
        <w:widowControl/>
        <w:bidi w:val="0"/>
        <w:ind w:hanging="0" w:left="0" w:right="0"/>
        <w:jc w:val="left"/>
        <w:rPr>
          <w:rFonts w:ascii="Arial;Helvetica;sans-serif" w:hAnsi="Arial;Helvetica;sans-serif"/>
          <w:b w:val="false"/>
          <w:i w:val="false"/>
          <w:caps w:val="false"/>
          <w:smallCaps w:val="false"/>
          <w:spacing w:val="0"/>
        </w:rPr>
      </w:pPr>
      <w:r>
        <w:rPr>
          <w:rFonts w:ascii="Arial;Helvetica;sans-serif" w:hAnsi="Arial;Helvetica;sans-serif"/>
          <w:b w:val="false"/>
          <w:i w:val="false"/>
          <w:caps w:val="false"/>
          <w:smallCaps w:val="false"/>
          <w:spacing w:val="0"/>
        </w:rPr>
        <w:t>WhatsApp CRM Security, User Data Protection, and Compliance Statement</w:t>
      </w:r>
    </w:p>
    <w:p>
      <w:pPr>
        <w:pStyle w:val="BodyText"/>
        <w:widowControl/>
        <w:bidi w:val="0"/>
        <w:ind w:hanging="0" w:left="0"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Document purpose: Bank and stakeholder assurance</w:t>
        <w:br/>
        <w:t>System: Strauss Recovery Solutions WhatsApp CRM</w:t>
        <w:br/>
        <w:t>Date: 4 June 2026</w:t>
        <w:br/>
        <w:t>Communication platform: Meta WhatsApp Business Platform (direct integration)</w:t>
      </w:r>
    </w:p>
    <w:p>
      <w:pPr>
        <w:pStyle w:val="BodyText"/>
        <w:widowControl/>
        <w:bidi w:val="0"/>
        <w:spacing w:before="150" w:after="240"/>
        <w:ind w:hanging="0" w:left="0" w:right="0"/>
        <w:jc w:val="left"/>
        <w:rPr>
          <w:rFonts w:ascii="Arial;Helvetica;sans-serif" w:hAnsi="Arial;Helvetica;sans-serif"/>
          <w:b w:val="false"/>
          <w:i w:val="false"/>
          <w:caps w:val="false"/>
          <w:smallCaps w:val="false"/>
          <w:color w:val="1F2937"/>
          <w:spacing w:val="0"/>
          <w:sz w:val="21"/>
          <w:bdr w:val="single" w:sz="24" w:space="9" w:color="2563EB"/>
          <w:shd w:fill="EFF6FF" w:val="clear"/>
        </w:rPr>
      </w:pPr>
      <w:r>
        <w:rPr>
          <w:rFonts w:ascii="Arial;Helvetica;sans-serif" w:hAnsi="Arial;Helvetica;sans-serif"/>
          <w:b w:val="false"/>
          <w:i w:val="false"/>
          <w:caps w:val="false"/>
          <w:smallCaps w:val="false"/>
          <w:color w:val="1F2937"/>
          <w:spacing w:val="0"/>
          <w:sz w:val="21"/>
          <w:bdr w:val="single" w:sz="24" w:space="9" w:color="2563EB"/>
          <w:shd w:fill="EFF6FF" w:val="clear"/>
        </w:rPr>
        <w:t>This document explains how the Strauss Recovery Solutions WhatsApp CRM protects user and debtor data, how the system is intended to align with South African regulatory expectations, which controls are currently implemented in the application, and which additional controls are required for full bank-grade assurance.</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1. Executive Summary</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Strauss Recovery Solutions WhatsApp CRM is used by authorised call centre agents to manage and follow up with debtors on behalf of multiple banks across South Africa. Because the system processes debtor and bank-linked personal information, it must be treated as a high-sensitivity platform and governed with strict privacy, security, audit, and access control measures.</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platform already contains core application safeguards including authenticated API access, password hashing, login throttling, audit logging, role-based access restrictions, direct Meta WhatsApp integration, webhook verification, and communication traceability. These controls materially improve the confidentiality, integrity, and accountability of debtor communications when compared to unmanaged messaging processes.</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However, no responsible security document should claim that any system is “unbreakable” or “fully compliant with all banks” by application code alone. Bank-grade assurance depends on a combination of application controls, infrastructure controls, operational controls, legal agreements, staff training, and independent assurance. This document therefore distinguishes between:</w:t>
      </w:r>
    </w:p>
    <w:p>
      <w:pPr>
        <w:pStyle w:val="BodyText"/>
        <w:widowControl/>
        <w:numPr>
          <w:ilvl w:val="0"/>
          <w:numId w:val="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controls already implemented in the current system,</w:t>
      </w:r>
    </w:p>
    <w:p>
      <w:pPr>
        <w:pStyle w:val="BodyText"/>
        <w:widowControl/>
        <w:numPr>
          <w:ilvl w:val="0"/>
          <w:numId w:val="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controls partially implemented,</w:t>
      </w:r>
    </w:p>
    <w:p>
      <w:pPr>
        <w:pStyle w:val="BodyText"/>
        <w:widowControl/>
        <w:numPr>
          <w:ilvl w:val="0"/>
          <w:numId w:val="1"/>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controls that remain required for strict multi-bank production use.</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2. System Purpose and Data Context</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CRM is designed to support debt-collection operations, debtor follow-up, outbound WhatsApp template messaging, inbound WhatsApp replies, client record management, campaign execution, communication history, and live chat handling for Strauss Recovery Solutions.</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Debtor lists are expected to be received from multiple banks. This means the system may process personal information and debt-related information such as:</w:t>
      </w:r>
    </w:p>
    <w:p>
      <w:pPr>
        <w:pStyle w:val="BodyText"/>
        <w:widowControl/>
        <w:numPr>
          <w:ilvl w:val="0"/>
          <w:numId w:val="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names, contact numbers, and email addresses,</w:t>
      </w:r>
    </w:p>
    <w:p>
      <w:pPr>
        <w:pStyle w:val="BodyText"/>
        <w:widowControl/>
        <w:numPr>
          <w:ilvl w:val="0"/>
          <w:numId w:val="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account references or debtor references,</w:t>
      </w:r>
    </w:p>
    <w:p>
      <w:pPr>
        <w:pStyle w:val="BodyText"/>
        <w:widowControl/>
        <w:numPr>
          <w:ilvl w:val="0"/>
          <w:numId w:val="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communication history and agent notes,</w:t>
      </w:r>
    </w:p>
    <w:p>
      <w:pPr>
        <w:pStyle w:val="BodyText"/>
        <w:widowControl/>
        <w:numPr>
          <w:ilvl w:val="0"/>
          <w:numId w:val="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payment arrangement and collection follow-up status,</w:t>
      </w:r>
    </w:p>
    <w:p>
      <w:pPr>
        <w:pStyle w:val="BodyText"/>
        <w:widowControl/>
        <w:numPr>
          <w:ilvl w:val="0"/>
          <w:numId w:val="2"/>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bank-linked client portfolio data.</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For this reason, the system should be classified as processing confidential and high-risk personal information in a regulated financial context.</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3. Regulatory and Platform Alignment</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security and compliance position of the system should align with the following legal and platform requirements.</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3.1 POPIA</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POPIA requires lawful processing, purpose limitation, minimality, security safeguards, accountability, and procedures for access, correction, objection, and breach notification. The Information Regulator’s POPIA material specifically emphasises section 19 security safeguards and section 22 security compromise reporting.</w:t>
      </w:r>
    </w:p>
    <w:p>
      <w:pPr>
        <w:pStyle w:val="BodyText"/>
        <w:widowControl/>
        <w:numPr>
          <w:ilvl w:val="0"/>
          <w:numId w:val="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Personal information must be processed only for an authorised debt-collection purpose.</w:t>
      </w:r>
    </w:p>
    <w:p>
      <w:pPr>
        <w:pStyle w:val="BodyText"/>
        <w:widowControl/>
        <w:numPr>
          <w:ilvl w:val="0"/>
          <w:numId w:val="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Only the minimum necessary debtor data should be visible or stored.</w:t>
      </w:r>
    </w:p>
    <w:p>
      <w:pPr>
        <w:pStyle w:val="BodyText"/>
        <w:widowControl/>
        <w:numPr>
          <w:ilvl w:val="0"/>
          <w:numId w:val="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Reasonable technical and organisational safeguards must be implemented and regularly reviewed.</w:t>
      </w:r>
    </w:p>
    <w:p>
      <w:pPr>
        <w:pStyle w:val="BodyText"/>
        <w:widowControl/>
        <w:numPr>
          <w:ilvl w:val="0"/>
          <w:numId w:val="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Security compromises must be reported to the Regulator and affected data subjects as soon as reasonably possible when required.</w:t>
      </w:r>
    </w:p>
    <w:p>
      <w:pPr>
        <w:pStyle w:val="BodyText"/>
        <w:widowControl/>
        <w:numPr>
          <w:ilvl w:val="0"/>
          <w:numId w:val="3"/>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An Information Officer and where needed Deputy Information Officers must be registered.</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3.2 National Credit Act and Debt-Collection Conduct</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Because the platform is used for debtor engagement, it must support accurate, fair, and lawful communication practices. Communication content should not be misleading, abusive, threatening, or unlawfully disclosive. Communication history should be retained for disputes, complaints, and compliance review.</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3.3 Cybercrimes Act</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system must support evidence preservation, cyber incident investigation, escalation, and reporting readiness. Logs and timestamps must be retained in a form suitable for internal and potentially external investigation.</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3.4 Banking Sector Expectations</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South African banks are typically stricter than ordinary commercial users because they apply outsourcing, third-party risk, confidentiality, cyber resilience, and auditability expectations. The document should therefore align with POPIA, the BASA banking code of conduct context, and financial-sector cyber resilience expectations such as those reflected in FSCA and SARB consultation and resilience materials.</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3.5 Meta WhatsApp Business Platform</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system uses Meta directly for WhatsApp bulk and operational messaging. This requires:</w:t>
      </w:r>
    </w:p>
    <w:p>
      <w:pPr>
        <w:pStyle w:val="BodyText"/>
        <w:widowControl/>
        <w:numPr>
          <w:ilvl w:val="0"/>
          <w:numId w:val="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verified WhatsApp business resources,</w:t>
      </w:r>
    </w:p>
    <w:p>
      <w:pPr>
        <w:pStyle w:val="BodyText"/>
        <w:widowControl/>
        <w:numPr>
          <w:ilvl w:val="0"/>
          <w:numId w:val="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approved message templates for business-initiated outreach,</w:t>
      </w:r>
    </w:p>
    <w:p>
      <w:pPr>
        <w:pStyle w:val="BodyText"/>
        <w:widowControl/>
        <w:numPr>
          <w:ilvl w:val="0"/>
          <w:numId w:val="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lawful permission or valid communication basis,</w:t>
      </w:r>
    </w:p>
    <w:p>
      <w:pPr>
        <w:pStyle w:val="BodyText"/>
        <w:widowControl/>
        <w:numPr>
          <w:ilvl w:val="0"/>
          <w:numId w:val="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secure token and permission handling,</w:t>
      </w:r>
    </w:p>
    <w:p>
      <w:pPr>
        <w:pStyle w:val="BodyText"/>
        <w:widowControl/>
        <w:numPr>
          <w:ilvl w:val="0"/>
          <w:numId w:val="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secure webhook processing,</w:t>
      </w:r>
    </w:p>
    <w:p>
      <w:pPr>
        <w:pStyle w:val="BodyText"/>
        <w:widowControl/>
        <w:numPr>
          <w:ilvl w:val="0"/>
          <w:numId w:val="4"/>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quality-rating and abuse-prevention awareness.</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4. Security Design Principles for the System</w:t>
      </w:r>
    </w:p>
    <w:p>
      <w:pPr>
        <w:pStyle w:val="BodyText"/>
        <w:widowControl/>
        <w:numPr>
          <w:ilvl w:val="0"/>
          <w:numId w:val="5"/>
        </w:numPr>
        <w:tabs>
          <w:tab w:val="clear" w:pos="709"/>
          <w:tab w:val="left" w:pos="0" w:leader="none"/>
        </w:tabs>
        <w:bidi w:val="0"/>
        <w:spacing w:before="0" w:after="0"/>
        <w:ind w:hanging="0" w:left="709" w:right="0"/>
        <w:jc w:val="left"/>
        <w:rPr/>
      </w:pPr>
      <w:r>
        <w:rPr>
          <w:rStyle w:val="Strong"/>
          <w:rFonts w:ascii="Arial;Helvetica;sans-serif" w:hAnsi="Arial;Helvetica;sans-serif"/>
          <w:b w:val="false"/>
          <w:i w:val="false"/>
          <w:caps w:val="false"/>
          <w:smallCaps w:val="false"/>
          <w:color w:val="1F2937"/>
          <w:spacing w:val="0"/>
          <w:sz w:val="21"/>
        </w:rPr>
        <w:t>Confidentiality:</w:t>
      </w:r>
      <w:r>
        <w:rPr>
          <w:rFonts w:ascii="Arial;Helvetica;sans-serif" w:hAnsi="Arial;Helvetica;sans-serif"/>
          <w:b w:val="false"/>
          <w:i w:val="false"/>
          <w:caps w:val="false"/>
          <w:smallCaps w:val="false"/>
          <w:color w:val="1F2937"/>
          <w:spacing w:val="0"/>
          <w:sz w:val="21"/>
        </w:rPr>
        <w:t> debtor and bank-linked data must only be accessible to authorised users.</w:t>
      </w:r>
    </w:p>
    <w:p>
      <w:pPr>
        <w:pStyle w:val="BodyText"/>
        <w:widowControl/>
        <w:numPr>
          <w:ilvl w:val="0"/>
          <w:numId w:val="5"/>
        </w:numPr>
        <w:tabs>
          <w:tab w:val="clear" w:pos="709"/>
          <w:tab w:val="left" w:pos="0" w:leader="none"/>
        </w:tabs>
        <w:bidi w:val="0"/>
        <w:spacing w:before="0" w:after="0"/>
        <w:ind w:hanging="0" w:left="709" w:right="0"/>
        <w:jc w:val="left"/>
        <w:rPr/>
      </w:pPr>
      <w:r>
        <w:rPr>
          <w:rStyle w:val="Strong"/>
          <w:rFonts w:ascii="Arial;Helvetica;sans-serif" w:hAnsi="Arial;Helvetica;sans-serif"/>
          <w:b w:val="false"/>
          <w:i w:val="false"/>
          <w:caps w:val="false"/>
          <w:smallCaps w:val="false"/>
          <w:color w:val="1F2937"/>
          <w:spacing w:val="0"/>
          <w:sz w:val="21"/>
        </w:rPr>
        <w:t>Integrity:</w:t>
      </w:r>
      <w:r>
        <w:rPr>
          <w:rFonts w:ascii="Arial;Helvetica;sans-serif" w:hAnsi="Arial;Helvetica;sans-serif"/>
          <w:b w:val="false"/>
          <w:i w:val="false"/>
          <w:caps w:val="false"/>
          <w:smallCaps w:val="false"/>
          <w:color w:val="1F2937"/>
          <w:spacing w:val="0"/>
          <w:sz w:val="21"/>
        </w:rPr>
        <w:t> debtor communication history and status changes must be accurate, auditable, and protected from unauthorised alteration.</w:t>
      </w:r>
    </w:p>
    <w:p>
      <w:pPr>
        <w:pStyle w:val="BodyText"/>
        <w:widowControl/>
        <w:numPr>
          <w:ilvl w:val="0"/>
          <w:numId w:val="5"/>
        </w:numPr>
        <w:tabs>
          <w:tab w:val="clear" w:pos="709"/>
          <w:tab w:val="left" w:pos="0" w:leader="none"/>
        </w:tabs>
        <w:bidi w:val="0"/>
        <w:spacing w:before="0" w:after="0"/>
        <w:ind w:hanging="0" w:left="709" w:right="0"/>
        <w:jc w:val="left"/>
        <w:rPr/>
      </w:pPr>
      <w:r>
        <w:rPr>
          <w:rStyle w:val="Strong"/>
          <w:rFonts w:ascii="Arial;Helvetica;sans-serif" w:hAnsi="Arial;Helvetica;sans-serif"/>
          <w:b w:val="false"/>
          <w:i w:val="false"/>
          <w:caps w:val="false"/>
          <w:smallCaps w:val="false"/>
          <w:color w:val="1F2937"/>
          <w:spacing w:val="0"/>
          <w:sz w:val="21"/>
        </w:rPr>
        <w:t>Availability:</w:t>
      </w:r>
      <w:r>
        <w:rPr>
          <w:rFonts w:ascii="Arial;Helvetica;sans-serif" w:hAnsi="Arial;Helvetica;sans-serif"/>
          <w:b w:val="false"/>
          <w:i w:val="false"/>
          <w:caps w:val="false"/>
          <w:smallCaps w:val="false"/>
          <w:color w:val="1F2937"/>
          <w:spacing w:val="0"/>
          <w:sz w:val="21"/>
        </w:rPr>
        <w:t> the system must remain operational for authorised users while preserving logging, backup, and recovery capability.</w:t>
      </w:r>
    </w:p>
    <w:p>
      <w:pPr>
        <w:pStyle w:val="BodyText"/>
        <w:widowControl/>
        <w:numPr>
          <w:ilvl w:val="0"/>
          <w:numId w:val="5"/>
        </w:numPr>
        <w:tabs>
          <w:tab w:val="clear" w:pos="709"/>
          <w:tab w:val="left" w:pos="0" w:leader="none"/>
        </w:tabs>
        <w:bidi w:val="0"/>
        <w:spacing w:before="0" w:after="0"/>
        <w:ind w:hanging="0" w:left="709" w:right="0"/>
        <w:jc w:val="left"/>
        <w:rPr/>
      </w:pPr>
      <w:r>
        <w:rPr>
          <w:rStyle w:val="Strong"/>
          <w:rFonts w:ascii="Arial;Helvetica;sans-serif" w:hAnsi="Arial;Helvetica;sans-serif"/>
          <w:b w:val="false"/>
          <w:i w:val="false"/>
          <w:caps w:val="false"/>
          <w:smallCaps w:val="false"/>
          <w:color w:val="1F2937"/>
          <w:spacing w:val="0"/>
          <w:sz w:val="21"/>
        </w:rPr>
        <w:t>Accountability:</w:t>
      </w:r>
      <w:r>
        <w:rPr>
          <w:rFonts w:ascii="Arial;Helvetica;sans-serif" w:hAnsi="Arial;Helvetica;sans-serif"/>
          <w:b w:val="false"/>
          <w:i w:val="false"/>
          <w:caps w:val="false"/>
          <w:smallCaps w:val="false"/>
          <w:color w:val="1F2937"/>
          <w:spacing w:val="0"/>
          <w:sz w:val="21"/>
        </w:rPr>
        <w:t> user activity and communication events must be attributable to specific authenticated users and system events.</w:t>
      </w:r>
    </w:p>
    <w:p>
      <w:pPr>
        <w:pStyle w:val="BodyText"/>
        <w:widowControl/>
        <w:numPr>
          <w:ilvl w:val="0"/>
          <w:numId w:val="5"/>
        </w:numPr>
        <w:tabs>
          <w:tab w:val="clear" w:pos="709"/>
          <w:tab w:val="left" w:pos="0" w:leader="none"/>
        </w:tabs>
        <w:bidi w:val="0"/>
        <w:spacing w:before="0" w:after="0"/>
        <w:ind w:hanging="0" w:left="709" w:right="0"/>
        <w:jc w:val="left"/>
        <w:rPr/>
      </w:pPr>
      <w:r>
        <w:rPr>
          <w:rStyle w:val="Strong"/>
          <w:rFonts w:ascii="Arial;Helvetica;sans-serif" w:hAnsi="Arial;Helvetica;sans-serif"/>
          <w:b w:val="false"/>
          <w:i w:val="false"/>
          <w:caps w:val="false"/>
          <w:smallCaps w:val="false"/>
          <w:color w:val="1F2937"/>
          <w:spacing w:val="0"/>
          <w:sz w:val="21"/>
        </w:rPr>
        <w:t>Least privilege:</w:t>
      </w:r>
      <w:r>
        <w:rPr>
          <w:rFonts w:ascii="Arial;Helvetica;sans-serif" w:hAnsi="Arial;Helvetica;sans-serif"/>
          <w:b w:val="false"/>
          <w:i w:val="false"/>
          <w:caps w:val="false"/>
          <w:smallCaps w:val="false"/>
          <w:color w:val="1F2937"/>
          <w:spacing w:val="0"/>
          <w:sz w:val="21"/>
        </w:rPr>
        <w:t> users should only see the minimum data required for their function.</w:t>
      </w:r>
    </w:p>
    <w:p>
      <w:pPr>
        <w:pStyle w:val="BodyText"/>
        <w:widowControl/>
        <w:numPr>
          <w:ilvl w:val="0"/>
          <w:numId w:val="5"/>
        </w:numPr>
        <w:tabs>
          <w:tab w:val="clear" w:pos="709"/>
          <w:tab w:val="left" w:pos="0" w:leader="none"/>
        </w:tabs>
        <w:bidi w:val="0"/>
        <w:ind w:hanging="0" w:left="709" w:right="0"/>
        <w:jc w:val="left"/>
        <w:rPr/>
      </w:pPr>
      <w:r>
        <w:rPr>
          <w:rStyle w:val="Strong"/>
          <w:rFonts w:ascii="Arial;Helvetica;sans-serif" w:hAnsi="Arial;Helvetica;sans-serif"/>
          <w:b w:val="false"/>
          <w:i w:val="false"/>
          <w:caps w:val="false"/>
          <w:smallCaps w:val="false"/>
          <w:color w:val="1F2937"/>
          <w:spacing w:val="0"/>
          <w:sz w:val="21"/>
        </w:rPr>
        <w:t>Privacy by design:</w:t>
      </w:r>
      <w:r>
        <w:rPr>
          <w:rFonts w:ascii="Arial;Helvetica;sans-serif" w:hAnsi="Arial;Helvetica;sans-serif"/>
          <w:b w:val="false"/>
          <w:i w:val="false"/>
          <w:caps w:val="false"/>
          <w:smallCaps w:val="false"/>
          <w:color w:val="1F2937"/>
          <w:spacing w:val="0"/>
          <w:sz w:val="21"/>
        </w:rPr>
        <w:t> collection, retention, display, and export of personal data must be minimised and controlled.</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5. Security Features Currently Present in the Application</w:t>
      </w:r>
    </w:p>
    <w:tbl>
      <w:tblPr>
        <w:tblW w:w="9026" w:type="dxa"/>
        <w:jc w:val="left"/>
        <w:tblInd w:w="120" w:type="dxa"/>
        <w:tblLayout w:type="fixed"/>
        <w:tblCellMar>
          <w:top w:w="120" w:type="dxa"/>
          <w:left w:w="120" w:type="dxa"/>
          <w:bottom w:w="120" w:type="dxa"/>
          <w:right w:w="120" w:type="dxa"/>
        </w:tblCellMar>
      </w:tblPr>
      <w:tblGrid>
        <w:gridCol w:w="2399"/>
        <w:gridCol w:w="1507"/>
        <w:gridCol w:w="5120"/>
      </w:tblGrid>
      <w:tr>
        <w:trPr>
          <w:tblHeader w:val="true"/>
        </w:trPr>
        <w:tc>
          <w:tcPr>
            <w:tcW w:w="2399" w:type="dxa"/>
            <w:tcBorders>
              <w:top w:val="single" w:sz="2" w:space="0" w:color="CBD5E1"/>
              <w:left w:val="single" w:sz="2" w:space="0" w:color="CBD5E1"/>
              <w:bottom w:val="single" w:sz="2" w:space="0" w:color="CBD5E1"/>
              <w:right w:val="single" w:sz="2" w:space="0" w:color="CBD5E1"/>
            </w:tcBorders>
            <w:shd w:fill="E2E8F0" w:val="clear"/>
            <w:vAlign w:val="center"/>
          </w:tcPr>
          <w:p>
            <w:pPr>
              <w:pStyle w:val="TableHeading"/>
              <w:bidi w:val="0"/>
              <w:ind w:hanging="0" w:left="0" w:right="0"/>
              <w:jc w:val="left"/>
              <w:rPr/>
            </w:pPr>
            <w:r>
              <w:rPr/>
              <w:t>Security Feature</w:t>
            </w:r>
          </w:p>
        </w:tc>
        <w:tc>
          <w:tcPr>
            <w:tcW w:w="1507" w:type="dxa"/>
            <w:tcBorders>
              <w:top w:val="single" w:sz="2" w:space="0" w:color="CBD5E1"/>
              <w:left w:val="single" w:sz="2" w:space="0" w:color="CBD5E1"/>
              <w:bottom w:val="single" w:sz="2" w:space="0" w:color="CBD5E1"/>
              <w:right w:val="single" w:sz="2" w:space="0" w:color="CBD5E1"/>
            </w:tcBorders>
            <w:shd w:fill="E2E8F0" w:val="clear"/>
            <w:vAlign w:val="center"/>
          </w:tcPr>
          <w:p>
            <w:pPr>
              <w:pStyle w:val="TableHeading"/>
              <w:bidi w:val="0"/>
              <w:ind w:hanging="0" w:left="0" w:right="0"/>
              <w:jc w:val="left"/>
              <w:rPr/>
            </w:pPr>
            <w:r>
              <w:rPr/>
              <w:t>Status</w:t>
            </w:r>
          </w:p>
        </w:tc>
        <w:tc>
          <w:tcPr>
            <w:tcW w:w="5120" w:type="dxa"/>
            <w:tcBorders>
              <w:top w:val="single" w:sz="2" w:space="0" w:color="CBD5E1"/>
              <w:left w:val="single" w:sz="2" w:space="0" w:color="CBD5E1"/>
              <w:bottom w:val="single" w:sz="2" w:space="0" w:color="CBD5E1"/>
              <w:right w:val="single" w:sz="2" w:space="0" w:color="CBD5E1"/>
            </w:tcBorders>
            <w:shd w:fill="E2E8F0" w:val="clear"/>
            <w:vAlign w:val="center"/>
          </w:tcPr>
          <w:p>
            <w:pPr>
              <w:pStyle w:val="TableHeading"/>
              <w:bidi w:val="0"/>
              <w:ind w:hanging="0" w:left="0" w:right="0"/>
              <w:jc w:val="left"/>
              <w:rPr/>
            </w:pPr>
            <w:r>
              <w:rPr/>
              <w:t>Current Protection Value</w:t>
            </w:r>
          </w:p>
        </w:tc>
      </w:tr>
      <w:tr>
        <w:trPr/>
        <w:tc>
          <w:tcPr>
            <w:tcW w:w="239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Authenticated API access</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512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application uses authenticated API access with Laravel Sanctum, reducing exposure of operational endpoints to unauthenticated users.</w:t>
            </w:r>
          </w:p>
        </w:tc>
      </w:tr>
      <w:tr>
        <w:trPr/>
        <w:tc>
          <w:tcPr>
            <w:tcW w:w="239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Password hashing</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512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User passwords are not stored in plain text and are hashed before storage.</w:t>
            </w:r>
          </w:p>
        </w:tc>
      </w:tr>
      <w:tr>
        <w:trPr/>
        <w:tc>
          <w:tcPr>
            <w:tcW w:w="239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Login rate limiting</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512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Login attempts are throttled per IP address to reduce brute-force password attack risk.</w:t>
            </w:r>
          </w:p>
        </w:tc>
      </w:tr>
      <w:tr>
        <w:trPr/>
        <w:tc>
          <w:tcPr>
            <w:tcW w:w="239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Role-based access</w:t>
            </w:r>
          </w:p>
        </w:tc>
        <w:tc>
          <w:tcPr>
            <w:tcW w:w="1507" w:type="dxa"/>
            <w:tcBorders>
              <w:top w:val="single" w:sz="2" w:space="0" w:color="CBD5E1"/>
              <w:left w:val="single" w:sz="2" w:space="0" w:color="CBD5E1"/>
              <w:bottom w:val="single" w:sz="2" w:space="0" w:color="CBD5E1"/>
              <w:right w:val="single" w:sz="2" w:space="0" w:color="CBD5E1"/>
            </w:tcBorders>
            <w:shd w:fill="FEF3C7" w:val="clear"/>
            <w:vAlign w:val="center"/>
          </w:tcPr>
          <w:p>
            <w:pPr>
              <w:pStyle w:val="TableContents"/>
              <w:bidi w:val="0"/>
              <w:ind w:hanging="0" w:left="0" w:right="0"/>
              <w:jc w:val="left"/>
              <w:rPr/>
            </w:pPr>
            <w:r>
              <w:rPr/>
              <w:t>Partial</w:t>
            </w:r>
          </w:p>
        </w:tc>
        <w:tc>
          <w:tcPr>
            <w:tcW w:w="512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app enforces roles such as SUPER_ADMIN, MANAGER, and STAFF. This limits certain actions such as system settings, user management, exports, and template administration.</w:t>
            </w:r>
          </w:p>
        </w:tc>
      </w:tr>
      <w:tr>
        <w:trPr/>
        <w:tc>
          <w:tcPr>
            <w:tcW w:w="239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Department-based data limitation</w:t>
            </w:r>
          </w:p>
        </w:tc>
        <w:tc>
          <w:tcPr>
            <w:tcW w:w="1507" w:type="dxa"/>
            <w:tcBorders>
              <w:top w:val="single" w:sz="2" w:space="0" w:color="CBD5E1"/>
              <w:left w:val="single" w:sz="2" w:space="0" w:color="CBD5E1"/>
              <w:bottom w:val="single" w:sz="2" w:space="0" w:color="CBD5E1"/>
              <w:right w:val="single" w:sz="2" w:space="0" w:color="CBD5E1"/>
            </w:tcBorders>
            <w:shd w:fill="FEF3C7" w:val="clear"/>
            <w:vAlign w:val="center"/>
          </w:tcPr>
          <w:p>
            <w:pPr>
              <w:pStyle w:val="TableContents"/>
              <w:bidi w:val="0"/>
              <w:ind w:hanging="0" w:left="0" w:right="0"/>
              <w:jc w:val="left"/>
              <w:rPr/>
            </w:pPr>
            <w:r>
              <w:rPr/>
              <w:t>Partial</w:t>
            </w:r>
          </w:p>
        </w:tc>
        <w:tc>
          <w:tcPr>
            <w:tcW w:w="512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Some controller logic limits campaign and client access based on user role and department association.</w:t>
            </w:r>
          </w:p>
        </w:tc>
      </w:tr>
      <w:tr>
        <w:trPr/>
        <w:tc>
          <w:tcPr>
            <w:tcW w:w="239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Audit logging</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512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Mutating API actions are audited through middleware. Authentication events and key user actions are also logged. This supports accountability and investigation.</w:t>
            </w:r>
          </w:p>
        </w:tc>
      </w:tr>
      <w:tr>
        <w:trPr/>
        <w:tc>
          <w:tcPr>
            <w:tcW w:w="239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Audit reporting</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512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application provides an audit log view and export capability for review by authorised personnel.</w:t>
            </w:r>
          </w:p>
        </w:tc>
      </w:tr>
      <w:tr>
        <w:trPr/>
        <w:tc>
          <w:tcPr>
            <w:tcW w:w="239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Meta direct integration</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512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system integrates directly with Meta WhatsApp Cloud API for template retrieval, outbound sends, inbound replies, and delivery status processing.</w:t>
            </w:r>
          </w:p>
        </w:tc>
      </w:tr>
      <w:tr>
        <w:trPr/>
        <w:tc>
          <w:tcPr>
            <w:tcW w:w="239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Webhook verification</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512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Meta webhook verification challenge is implemented and functioning correctly.</w:t>
            </w:r>
          </w:p>
        </w:tc>
      </w:tr>
      <w:tr>
        <w:trPr/>
        <w:tc>
          <w:tcPr>
            <w:tcW w:w="239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Template approval flow awareness</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512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CRM uses Meta templates and can create basic text templates for submission to Meta review, reinforcing approved outbound messaging practice.</w:t>
            </w:r>
          </w:p>
        </w:tc>
      </w:tr>
      <w:tr>
        <w:trPr/>
        <w:tc>
          <w:tcPr>
            <w:tcW w:w="239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Inbound and outbound traceability</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512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WhatsApp messages, delivery updates, and replies are linked into CRM records, improving traceability of contact events.</w:t>
            </w:r>
          </w:p>
        </w:tc>
      </w:tr>
      <w:tr>
        <w:trPr/>
        <w:tc>
          <w:tcPr>
            <w:tcW w:w="239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Email MFA capability</w:t>
            </w:r>
          </w:p>
        </w:tc>
        <w:tc>
          <w:tcPr>
            <w:tcW w:w="1507" w:type="dxa"/>
            <w:tcBorders>
              <w:top w:val="single" w:sz="2" w:space="0" w:color="CBD5E1"/>
              <w:left w:val="single" w:sz="2" w:space="0" w:color="CBD5E1"/>
              <w:bottom w:val="single" w:sz="2" w:space="0" w:color="CBD5E1"/>
              <w:right w:val="single" w:sz="2" w:space="0" w:color="CBD5E1"/>
            </w:tcBorders>
            <w:shd w:fill="FEF3C7" w:val="clear"/>
            <w:vAlign w:val="center"/>
          </w:tcPr>
          <w:p>
            <w:pPr>
              <w:pStyle w:val="TableContents"/>
              <w:bidi w:val="0"/>
              <w:ind w:hanging="0" w:left="0" w:right="0"/>
              <w:jc w:val="left"/>
              <w:rPr/>
            </w:pPr>
            <w:r>
              <w:rPr/>
              <w:t>Partial</w:t>
            </w:r>
          </w:p>
        </w:tc>
        <w:tc>
          <w:tcPr>
            <w:tcW w:w="5120" w:type="dxa"/>
            <w:tcBorders>
              <w:top w:val="single" w:sz="2" w:space="0" w:color="CBD5E1"/>
              <w:left w:val="single" w:sz="2" w:space="0" w:color="CBD5E1"/>
              <w:bottom w:val="single" w:sz="2" w:space="0" w:color="CBD5E1"/>
              <w:right w:val="single" w:sz="2" w:space="0" w:color="CBD5E1"/>
            </w:tcBorders>
            <w:vAlign w:val="center"/>
          </w:tcPr>
          <w:p>
            <w:pPr>
              <w:pStyle w:val="TableContents"/>
              <w:bidi w:val="0"/>
              <w:jc w:val="left"/>
              <w:rPr/>
            </w:pPr>
            <w:r>
              <w:rPr/>
              <w:t>MFA fields and email-based OTP workflow exist in the application design and settings interface.</w:t>
            </w:r>
          </w:p>
        </w:tc>
      </w:tr>
    </w:tbl>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6. How the System Protects User Data</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6.1 Controlled Access to Data</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current system protects data by requiring authenticated access to API functions and by restricting sensitive administration actions to privileged roles. This reduces the risk of open access to debtor records or communication history.</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6.2 Traceable User Actions</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platform records mutating actions, authentication events, and operational changes in an audit log. This means user actions are not anonymous and can be reviewed after the fact, which is a key financial-sector control.</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6.3 Controlled Messaging Through Meta</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By integrating directly with Meta’s WhatsApp Business Platform, the system avoids the use of unauthorised automation tools. Outbound business-initiated messages are expected to use approved WhatsApp templates, and inbound and outbound events are recorded through API and webhook flows.</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6.4 Reduced Manual Messaging Risk</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Centralising communications inside the CRM reduces the operational risk of agents using personal devices, unmanaged channels, or unlogged messaging processes to contact debtors.</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6.5 Access Segmentation Foundation</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application already contains role- and department-aware restrictions in several business flows, providing a starting point for tighter least-privilege and tenant isolation controls.</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7. Compliance and Security Controls Required for Bank Use</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For use with multiple banks across South Africa, the system must be governed as a bank-sensitive outsourced platform. The following controls should be part of the formal security and compliance statement.</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7.1 Access Control and Identity Security</w:t>
      </w:r>
    </w:p>
    <w:p>
      <w:pPr>
        <w:pStyle w:val="BodyText"/>
        <w:widowControl/>
        <w:numPr>
          <w:ilvl w:val="0"/>
          <w:numId w:val="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Unique user accounts for every agent and administrator.</w:t>
      </w:r>
    </w:p>
    <w:p>
      <w:pPr>
        <w:pStyle w:val="BodyText"/>
        <w:widowControl/>
        <w:numPr>
          <w:ilvl w:val="0"/>
          <w:numId w:val="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No shared credentials.</w:t>
      </w:r>
    </w:p>
    <w:p>
      <w:pPr>
        <w:pStyle w:val="BodyText"/>
        <w:widowControl/>
        <w:numPr>
          <w:ilvl w:val="0"/>
          <w:numId w:val="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MFA mandatory for privileged roles and recommended for all users.</w:t>
      </w:r>
    </w:p>
    <w:p>
      <w:pPr>
        <w:pStyle w:val="BodyText"/>
        <w:widowControl/>
        <w:numPr>
          <w:ilvl w:val="0"/>
          <w:numId w:val="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Immediate account disablement for terminated or suspended staff.</w:t>
      </w:r>
    </w:p>
    <w:p>
      <w:pPr>
        <w:pStyle w:val="BodyText"/>
        <w:widowControl/>
        <w:numPr>
          <w:ilvl w:val="0"/>
          <w:numId w:val="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Periodic access review and role recertification.</w:t>
      </w:r>
    </w:p>
    <w:p>
      <w:pPr>
        <w:pStyle w:val="BodyText"/>
        <w:widowControl/>
        <w:numPr>
          <w:ilvl w:val="0"/>
          <w:numId w:val="6"/>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Session timeout, forced re-authentication for sensitive actions, and device/session review.</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7.2 Data Protection Controls</w:t>
      </w:r>
    </w:p>
    <w:p>
      <w:pPr>
        <w:pStyle w:val="BodyText"/>
        <w:widowControl/>
        <w:numPr>
          <w:ilvl w:val="0"/>
          <w:numId w:val="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Classification of all debtor data as confidential or highly confidential.</w:t>
      </w:r>
    </w:p>
    <w:p>
      <w:pPr>
        <w:pStyle w:val="BodyText"/>
        <w:widowControl/>
        <w:numPr>
          <w:ilvl w:val="0"/>
          <w:numId w:val="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Data minimisation and purpose limitation.</w:t>
      </w:r>
    </w:p>
    <w:p>
      <w:pPr>
        <w:pStyle w:val="BodyText"/>
        <w:widowControl/>
        <w:numPr>
          <w:ilvl w:val="0"/>
          <w:numId w:val="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Masking of sensitive identifiers in the user interface and exports.</w:t>
      </w:r>
    </w:p>
    <w:p>
      <w:pPr>
        <w:pStyle w:val="BodyText"/>
        <w:widowControl/>
        <w:numPr>
          <w:ilvl w:val="0"/>
          <w:numId w:val="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Encryption in transit and at rest.</w:t>
      </w:r>
    </w:p>
    <w:p>
      <w:pPr>
        <w:pStyle w:val="BodyText"/>
        <w:widowControl/>
        <w:numPr>
          <w:ilvl w:val="0"/>
          <w:numId w:val="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Encrypted backups and secret protection.</w:t>
      </w:r>
    </w:p>
    <w:p>
      <w:pPr>
        <w:pStyle w:val="BodyText"/>
        <w:widowControl/>
        <w:numPr>
          <w:ilvl w:val="0"/>
          <w:numId w:val="7"/>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Secure deletion and retention controls.</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7.3 Bank Segregation Controls</w:t>
      </w:r>
    </w:p>
    <w:p>
      <w:pPr>
        <w:pStyle w:val="BodyText"/>
        <w:widowControl/>
        <w:numPr>
          <w:ilvl w:val="0"/>
          <w:numId w:val="8"/>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Logical segregation of each bank’s data.</w:t>
      </w:r>
    </w:p>
    <w:p>
      <w:pPr>
        <w:pStyle w:val="BodyText"/>
        <w:widowControl/>
        <w:numPr>
          <w:ilvl w:val="0"/>
          <w:numId w:val="8"/>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Bank-aware queries, exports, dashboards, and reports.</w:t>
      </w:r>
    </w:p>
    <w:p>
      <w:pPr>
        <w:pStyle w:val="BodyText"/>
        <w:widowControl/>
        <w:numPr>
          <w:ilvl w:val="0"/>
          <w:numId w:val="8"/>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No cross-bank visibility unless contractually authorised.</w:t>
      </w:r>
    </w:p>
    <w:p>
      <w:pPr>
        <w:pStyle w:val="BodyText"/>
        <w:widowControl/>
        <w:numPr>
          <w:ilvl w:val="0"/>
          <w:numId w:val="8"/>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Bank-specific retention and suppression policies.</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7.4 WhatsApp Compliance Controls</w:t>
      </w:r>
    </w:p>
    <w:p>
      <w:pPr>
        <w:pStyle w:val="BodyText"/>
        <w:widowControl/>
        <w:numPr>
          <w:ilvl w:val="0"/>
          <w:numId w:val="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Approved Meta templates for business-initiated messaging.</w:t>
      </w:r>
    </w:p>
    <w:p>
      <w:pPr>
        <w:pStyle w:val="BodyText"/>
        <w:widowControl/>
        <w:numPr>
          <w:ilvl w:val="0"/>
          <w:numId w:val="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Opt-in or lawful permission evidence where required.</w:t>
      </w:r>
    </w:p>
    <w:p>
      <w:pPr>
        <w:pStyle w:val="BodyText"/>
        <w:widowControl/>
        <w:numPr>
          <w:ilvl w:val="0"/>
          <w:numId w:val="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STOP / opt-out handling and suppression management.</w:t>
      </w:r>
    </w:p>
    <w:p>
      <w:pPr>
        <w:pStyle w:val="BodyText"/>
        <w:widowControl/>
        <w:numPr>
          <w:ilvl w:val="0"/>
          <w:numId w:val="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Quality-rating monitoring and anti-spam governance.</w:t>
      </w:r>
    </w:p>
    <w:p>
      <w:pPr>
        <w:pStyle w:val="BodyText"/>
        <w:widowControl/>
        <w:numPr>
          <w:ilvl w:val="0"/>
          <w:numId w:val="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Secure token handling and permission minimisation.</w:t>
      </w:r>
    </w:p>
    <w:p>
      <w:pPr>
        <w:pStyle w:val="BodyText"/>
        <w:widowControl/>
        <w:numPr>
          <w:ilvl w:val="0"/>
          <w:numId w:val="9"/>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Webhook signature validation, rate limiting, and replay protection.</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7.5 Audit, Monitoring, and Investigation Controls</w:t>
      </w:r>
    </w:p>
    <w:p>
      <w:pPr>
        <w:pStyle w:val="BodyText"/>
        <w:widowControl/>
        <w:numPr>
          <w:ilvl w:val="0"/>
          <w:numId w:val="1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Immutable or tamper-resistant audit trails.</w:t>
      </w:r>
    </w:p>
    <w:p>
      <w:pPr>
        <w:pStyle w:val="BodyText"/>
        <w:widowControl/>
        <w:numPr>
          <w:ilvl w:val="0"/>
          <w:numId w:val="1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Log coverage for logins, logouts, views, sends, note changes, exports, and admin changes.</w:t>
      </w:r>
    </w:p>
    <w:p>
      <w:pPr>
        <w:pStyle w:val="BodyText"/>
        <w:widowControl/>
        <w:numPr>
          <w:ilvl w:val="0"/>
          <w:numId w:val="1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Retention of Meta message IDs, template IDs, and delivery events.</w:t>
      </w:r>
    </w:p>
    <w:p>
      <w:pPr>
        <w:pStyle w:val="BodyText"/>
        <w:widowControl/>
        <w:numPr>
          <w:ilvl w:val="0"/>
          <w:numId w:val="1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Monitoring for failed logins, abnormal send patterns, export spikes, and suspicious user behaviour.</w:t>
      </w:r>
    </w:p>
    <w:p>
      <w:pPr>
        <w:pStyle w:val="BodyText"/>
        <w:widowControl/>
        <w:numPr>
          <w:ilvl w:val="0"/>
          <w:numId w:val="10"/>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Incident evidence preservation for POPIA section 22 and Cybercrimes Act response.</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7.6 Operational and Infrastructure Controls</w:t>
      </w:r>
    </w:p>
    <w:p>
      <w:pPr>
        <w:pStyle w:val="BodyText"/>
        <w:widowControl/>
        <w:numPr>
          <w:ilvl w:val="0"/>
          <w:numId w:val="1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HTTPS/TLS on all application and webhook traffic.</w:t>
      </w:r>
    </w:p>
    <w:p>
      <w:pPr>
        <w:pStyle w:val="BodyText"/>
        <w:widowControl/>
        <w:numPr>
          <w:ilvl w:val="0"/>
          <w:numId w:val="1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Firewalling and least-privilege service access.</w:t>
      </w:r>
    </w:p>
    <w:p>
      <w:pPr>
        <w:pStyle w:val="BodyText"/>
        <w:widowControl/>
        <w:numPr>
          <w:ilvl w:val="0"/>
          <w:numId w:val="1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Patch management and vulnerability management.</w:t>
      </w:r>
    </w:p>
    <w:p>
      <w:pPr>
        <w:pStyle w:val="BodyText"/>
        <w:widowControl/>
        <w:numPr>
          <w:ilvl w:val="0"/>
          <w:numId w:val="1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Backup encryption and restore testing.</w:t>
      </w:r>
    </w:p>
    <w:p>
      <w:pPr>
        <w:pStyle w:val="BodyText"/>
        <w:widowControl/>
        <w:numPr>
          <w:ilvl w:val="0"/>
          <w:numId w:val="1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Staging/production separation.</w:t>
      </w:r>
    </w:p>
    <w:p>
      <w:pPr>
        <w:pStyle w:val="BodyText"/>
        <w:widowControl/>
        <w:numPr>
          <w:ilvl w:val="0"/>
          <w:numId w:val="1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No production secrets in source control.</w:t>
      </w:r>
    </w:p>
    <w:p>
      <w:pPr>
        <w:pStyle w:val="BodyText"/>
        <w:widowControl/>
        <w:numPr>
          <w:ilvl w:val="0"/>
          <w:numId w:val="11"/>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No production data in development unless anonymised and approved.</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8. Current Gaps That Must Be Disclosed Transparently</w:t>
      </w:r>
    </w:p>
    <w:p>
      <w:pPr>
        <w:pStyle w:val="BodyText"/>
        <w:widowControl/>
        <w:bidi w:val="0"/>
        <w:spacing w:before="150" w:after="240"/>
        <w:ind w:hanging="0" w:left="0" w:right="0"/>
        <w:jc w:val="left"/>
        <w:rPr>
          <w:rFonts w:ascii="Arial;Helvetica;sans-serif" w:hAnsi="Arial;Helvetica;sans-serif"/>
          <w:b w:val="false"/>
          <w:i w:val="false"/>
          <w:caps w:val="false"/>
          <w:smallCaps w:val="false"/>
          <w:color w:val="1F2937"/>
          <w:spacing w:val="0"/>
          <w:sz w:val="21"/>
          <w:bdr w:val="single" w:sz="24" w:space="9" w:color="EA580C"/>
          <w:shd w:fill="FFF7ED" w:val="clear"/>
        </w:rPr>
      </w:pPr>
      <w:r>
        <w:rPr>
          <w:rFonts w:ascii="Arial;Helvetica;sans-serif" w:hAnsi="Arial;Helvetica;sans-serif"/>
          <w:b w:val="false"/>
          <w:i w:val="false"/>
          <w:caps w:val="false"/>
          <w:smallCaps w:val="false"/>
          <w:color w:val="1F2937"/>
          <w:spacing w:val="0"/>
          <w:sz w:val="21"/>
          <w:bdr w:val="single" w:sz="24" w:space="9" w:color="EA580C"/>
          <w:shd w:fill="FFF7ED" w:val="clear"/>
        </w:rPr>
        <w:t>The following items should be disclosed as current gaps or partially delivered controls. They should not be described as fully implemented unless the underlying technical and operational work has been completed and verified.</w:t>
      </w:r>
    </w:p>
    <w:tbl>
      <w:tblPr>
        <w:tblW w:w="9026" w:type="dxa"/>
        <w:jc w:val="left"/>
        <w:tblInd w:w="120" w:type="dxa"/>
        <w:tblLayout w:type="fixed"/>
        <w:tblCellMar>
          <w:top w:w="120" w:type="dxa"/>
          <w:left w:w="120" w:type="dxa"/>
          <w:bottom w:w="120" w:type="dxa"/>
          <w:right w:w="120" w:type="dxa"/>
        </w:tblCellMar>
      </w:tblPr>
      <w:tblGrid>
        <w:gridCol w:w="2331"/>
        <w:gridCol w:w="1333"/>
        <w:gridCol w:w="5362"/>
      </w:tblGrid>
      <w:tr>
        <w:trPr>
          <w:tblHeader w:val="true"/>
        </w:trPr>
        <w:tc>
          <w:tcPr>
            <w:tcW w:w="2331" w:type="dxa"/>
            <w:tcBorders>
              <w:top w:val="single" w:sz="2" w:space="0" w:color="CBD5E1"/>
              <w:left w:val="single" w:sz="2" w:space="0" w:color="CBD5E1"/>
              <w:bottom w:val="single" w:sz="2" w:space="0" w:color="CBD5E1"/>
              <w:right w:val="single" w:sz="2" w:space="0" w:color="CBD5E1"/>
            </w:tcBorders>
            <w:shd w:fill="E2E8F0" w:val="clear"/>
            <w:vAlign w:val="center"/>
          </w:tcPr>
          <w:p>
            <w:pPr>
              <w:pStyle w:val="TableHeading"/>
              <w:bidi w:val="0"/>
              <w:ind w:hanging="0" w:left="0" w:right="0"/>
              <w:jc w:val="left"/>
              <w:rPr/>
            </w:pPr>
            <w:r>
              <w:rPr/>
              <w:t>Area</w:t>
            </w:r>
          </w:p>
        </w:tc>
        <w:tc>
          <w:tcPr>
            <w:tcW w:w="1333" w:type="dxa"/>
            <w:tcBorders>
              <w:top w:val="single" w:sz="2" w:space="0" w:color="CBD5E1"/>
              <w:left w:val="single" w:sz="2" w:space="0" w:color="CBD5E1"/>
              <w:bottom w:val="single" w:sz="2" w:space="0" w:color="CBD5E1"/>
              <w:right w:val="single" w:sz="2" w:space="0" w:color="CBD5E1"/>
            </w:tcBorders>
            <w:shd w:fill="E2E8F0" w:val="clear"/>
            <w:vAlign w:val="center"/>
          </w:tcPr>
          <w:p>
            <w:pPr>
              <w:pStyle w:val="TableHeading"/>
              <w:bidi w:val="0"/>
              <w:ind w:hanging="0" w:left="0" w:right="0"/>
              <w:jc w:val="left"/>
              <w:rPr/>
            </w:pPr>
            <w:r>
              <w:rPr/>
              <w:t>Status</w:t>
            </w:r>
          </w:p>
        </w:tc>
        <w:tc>
          <w:tcPr>
            <w:tcW w:w="5362" w:type="dxa"/>
            <w:tcBorders>
              <w:top w:val="single" w:sz="2" w:space="0" w:color="CBD5E1"/>
              <w:left w:val="single" w:sz="2" w:space="0" w:color="CBD5E1"/>
              <w:bottom w:val="single" w:sz="2" w:space="0" w:color="CBD5E1"/>
              <w:right w:val="single" w:sz="2" w:space="0" w:color="CBD5E1"/>
            </w:tcBorders>
            <w:shd w:fill="E2E8F0" w:val="clear"/>
            <w:vAlign w:val="center"/>
          </w:tcPr>
          <w:p>
            <w:pPr>
              <w:pStyle w:val="TableHeading"/>
              <w:bidi w:val="0"/>
              <w:ind w:hanging="0" w:left="0" w:right="0"/>
              <w:jc w:val="left"/>
              <w:rPr/>
            </w:pPr>
            <w:r>
              <w:rPr/>
              <w:t>Risk / Required Next Step</w:t>
            </w:r>
          </w:p>
        </w:tc>
      </w:tr>
      <w:tr>
        <w:trPr/>
        <w:tc>
          <w:tcPr>
            <w:tcW w:w="2331"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Mandatory MFA enforcement</w:t>
            </w:r>
          </w:p>
        </w:tc>
        <w:tc>
          <w:tcPr>
            <w:tcW w:w="1333" w:type="dxa"/>
            <w:tcBorders>
              <w:top w:val="single" w:sz="2" w:space="0" w:color="CBD5E1"/>
              <w:left w:val="single" w:sz="2" w:space="0" w:color="CBD5E1"/>
              <w:bottom w:val="single" w:sz="2" w:space="0" w:color="CBD5E1"/>
              <w:right w:val="single" w:sz="2" w:space="0" w:color="CBD5E1"/>
            </w:tcBorders>
            <w:shd w:fill="FEE2E2" w:val="clear"/>
            <w:vAlign w:val="center"/>
          </w:tcPr>
          <w:p>
            <w:pPr>
              <w:pStyle w:val="TableContents"/>
              <w:bidi w:val="0"/>
              <w:ind w:hanging="0" w:left="0" w:right="0"/>
              <w:jc w:val="left"/>
              <w:rPr/>
            </w:pPr>
            <w:r>
              <w:rPr/>
              <w:t>Required</w:t>
            </w:r>
          </w:p>
        </w:tc>
        <w:tc>
          <w:tcPr>
            <w:tcW w:w="5362"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Email MFA capability exists but is not yet enforced for privileged access. It should be made mandatory before bank-grade rollout.</w:t>
            </w:r>
          </w:p>
        </w:tc>
      </w:tr>
      <w:tr>
        <w:trPr/>
        <w:tc>
          <w:tcPr>
            <w:tcW w:w="2331"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Webhook signature validation</w:t>
            </w:r>
          </w:p>
        </w:tc>
        <w:tc>
          <w:tcPr>
            <w:tcW w:w="1333" w:type="dxa"/>
            <w:tcBorders>
              <w:top w:val="single" w:sz="2" w:space="0" w:color="CBD5E1"/>
              <w:left w:val="single" w:sz="2" w:space="0" w:color="CBD5E1"/>
              <w:bottom w:val="single" w:sz="2" w:space="0" w:color="CBD5E1"/>
              <w:right w:val="single" w:sz="2" w:space="0" w:color="CBD5E1"/>
            </w:tcBorders>
            <w:shd w:fill="FEE2E2" w:val="clear"/>
            <w:vAlign w:val="center"/>
          </w:tcPr>
          <w:p>
            <w:pPr>
              <w:pStyle w:val="TableContents"/>
              <w:bidi w:val="0"/>
              <w:ind w:hanging="0" w:left="0" w:right="0"/>
              <w:jc w:val="left"/>
              <w:rPr/>
            </w:pPr>
            <w:r>
              <w:rPr/>
              <w:t>Required</w:t>
            </w:r>
          </w:p>
        </w:tc>
        <w:tc>
          <w:tcPr>
            <w:tcW w:w="5362"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Verify-token challenge is implemented, but signed POST validation and replay protection should be added for stronger webhook security assurance.</w:t>
            </w:r>
          </w:p>
        </w:tc>
      </w:tr>
      <w:tr>
        <w:trPr/>
        <w:tc>
          <w:tcPr>
            <w:tcW w:w="2331"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Bank tenant segregation</w:t>
            </w:r>
          </w:p>
        </w:tc>
        <w:tc>
          <w:tcPr>
            <w:tcW w:w="1333" w:type="dxa"/>
            <w:tcBorders>
              <w:top w:val="single" w:sz="2" w:space="0" w:color="CBD5E1"/>
              <w:left w:val="single" w:sz="2" w:space="0" w:color="CBD5E1"/>
              <w:bottom w:val="single" w:sz="2" w:space="0" w:color="CBD5E1"/>
              <w:right w:val="single" w:sz="2" w:space="0" w:color="CBD5E1"/>
            </w:tcBorders>
            <w:shd w:fill="FEE2E2" w:val="clear"/>
            <w:vAlign w:val="center"/>
          </w:tcPr>
          <w:p>
            <w:pPr>
              <w:pStyle w:val="TableContents"/>
              <w:bidi w:val="0"/>
              <w:ind w:hanging="0" w:left="0" w:right="0"/>
              <w:jc w:val="left"/>
              <w:rPr/>
            </w:pPr>
            <w:r>
              <w:rPr/>
              <w:t>Required</w:t>
            </w:r>
          </w:p>
        </w:tc>
        <w:tc>
          <w:tcPr>
            <w:tcW w:w="5362"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system currently has role and department scoping, but not a fully implemented multi-bank tenant boundary model.</w:t>
            </w:r>
          </w:p>
        </w:tc>
      </w:tr>
      <w:tr>
        <w:trPr/>
        <w:tc>
          <w:tcPr>
            <w:tcW w:w="2331"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Opt-in, lawful basis, and suppression tracking</w:t>
            </w:r>
          </w:p>
        </w:tc>
        <w:tc>
          <w:tcPr>
            <w:tcW w:w="1333" w:type="dxa"/>
            <w:tcBorders>
              <w:top w:val="single" w:sz="2" w:space="0" w:color="CBD5E1"/>
              <w:left w:val="single" w:sz="2" w:space="0" w:color="CBD5E1"/>
              <w:bottom w:val="single" w:sz="2" w:space="0" w:color="CBD5E1"/>
              <w:right w:val="single" w:sz="2" w:space="0" w:color="CBD5E1"/>
            </w:tcBorders>
            <w:shd w:fill="FEE2E2" w:val="clear"/>
            <w:vAlign w:val="center"/>
          </w:tcPr>
          <w:p>
            <w:pPr>
              <w:pStyle w:val="TableContents"/>
              <w:bidi w:val="0"/>
              <w:ind w:hanging="0" w:left="0" w:right="0"/>
              <w:jc w:val="left"/>
              <w:rPr/>
            </w:pPr>
            <w:r>
              <w:rPr/>
              <w:t>Required</w:t>
            </w:r>
          </w:p>
        </w:tc>
        <w:tc>
          <w:tcPr>
            <w:tcW w:w="5362"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Bank-grade WhatsApp compliance requires auditable opt-in or lawful basis tracking, opt-out handling, and suppression-list enforcement.</w:t>
            </w:r>
          </w:p>
        </w:tc>
      </w:tr>
      <w:tr>
        <w:trPr/>
        <w:tc>
          <w:tcPr>
            <w:tcW w:w="2331"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Secret encryption</w:t>
            </w:r>
          </w:p>
        </w:tc>
        <w:tc>
          <w:tcPr>
            <w:tcW w:w="1333" w:type="dxa"/>
            <w:tcBorders>
              <w:top w:val="single" w:sz="2" w:space="0" w:color="CBD5E1"/>
              <w:left w:val="single" w:sz="2" w:space="0" w:color="CBD5E1"/>
              <w:bottom w:val="single" w:sz="2" w:space="0" w:color="CBD5E1"/>
              <w:right w:val="single" w:sz="2" w:space="0" w:color="CBD5E1"/>
            </w:tcBorders>
            <w:shd w:fill="FEE2E2" w:val="clear"/>
            <w:vAlign w:val="center"/>
          </w:tcPr>
          <w:p>
            <w:pPr>
              <w:pStyle w:val="TableContents"/>
              <w:bidi w:val="0"/>
              <w:ind w:hanging="0" w:left="0" w:right="0"/>
              <w:jc w:val="left"/>
              <w:rPr/>
            </w:pPr>
            <w:r>
              <w:rPr/>
              <w:t>Required</w:t>
            </w:r>
          </w:p>
        </w:tc>
        <w:tc>
          <w:tcPr>
            <w:tcW w:w="5362"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Meta credentials should be protected in encrypted secret storage or an external vault, not treated as ordinary settings values.</w:t>
            </w:r>
          </w:p>
        </w:tc>
      </w:tr>
      <w:tr>
        <w:trPr/>
        <w:tc>
          <w:tcPr>
            <w:tcW w:w="2331"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Data masking / DLP</w:t>
            </w:r>
          </w:p>
        </w:tc>
        <w:tc>
          <w:tcPr>
            <w:tcW w:w="1333" w:type="dxa"/>
            <w:tcBorders>
              <w:top w:val="single" w:sz="2" w:space="0" w:color="CBD5E1"/>
              <w:left w:val="single" w:sz="2" w:space="0" w:color="CBD5E1"/>
              <w:bottom w:val="single" w:sz="2" w:space="0" w:color="CBD5E1"/>
              <w:right w:val="single" w:sz="2" w:space="0" w:color="CBD5E1"/>
            </w:tcBorders>
            <w:shd w:fill="FEE2E2" w:val="clear"/>
            <w:vAlign w:val="center"/>
          </w:tcPr>
          <w:p>
            <w:pPr>
              <w:pStyle w:val="TableContents"/>
              <w:bidi w:val="0"/>
              <w:ind w:hanging="0" w:left="0" w:right="0"/>
              <w:jc w:val="left"/>
              <w:rPr/>
            </w:pPr>
            <w:r>
              <w:rPr/>
              <w:t>Required</w:t>
            </w:r>
          </w:p>
        </w:tc>
        <w:tc>
          <w:tcPr>
            <w:tcW w:w="5362"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Sensitive fields should be masked by default, exports should be governed, and download actions should have stronger policy controls.</w:t>
            </w:r>
          </w:p>
        </w:tc>
      </w:tr>
      <w:tr>
        <w:trPr/>
        <w:tc>
          <w:tcPr>
            <w:tcW w:w="2331"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Data subject rights workflow</w:t>
            </w:r>
          </w:p>
        </w:tc>
        <w:tc>
          <w:tcPr>
            <w:tcW w:w="1333" w:type="dxa"/>
            <w:tcBorders>
              <w:top w:val="single" w:sz="2" w:space="0" w:color="CBD5E1"/>
              <w:left w:val="single" w:sz="2" w:space="0" w:color="CBD5E1"/>
              <w:bottom w:val="single" w:sz="2" w:space="0" w:color="CBD5E1"/>
              <w:right w:val="single" w:sz="2" w:space="0" w:color="CBD5E1"/>
            </w:tcBorders>
            <w:shd w:fill="FEE2E2" w:val="clear"/>
            <w:vAlign w:val="center"/>
          </w:tcPr>
          <w:p>
            <w:pPr>
              <w:pStyle w:val="TableContents"/>
              <w:bidi w:val="0"/>
              <w:ind w:hanging="0" w:left="0" w:right="0"/>
              <w:jc w:val="left"/>
              <w:rPr/>
            </w:pPr>
            <w:r>
              <w:rPr/>
              <w:t>Required</w:t>
            </w:r>
          </w:p>
        </w:tc>
        <w:tc>
          <w:tcPr>
            <w:tcW w:w="5362"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Access, correction, objection, deletion, and complaint-handling workflows should be formalised.</w:t>
            </w:r>
          </w:p>
        </w:tc>
      </w:tr>
      <w:tr>
        <w:trPr/>
        <w:tc>
          <w:tcPr>
            <w:tcW w:w="2331"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Incident response workflow</w:t>
            </w:r>
          </w:p>
        </w:tc>
        <w:tc>
          <w:tcPr>
            <w:tcW w:w="1333" w:type="dxa"/>
            <w:tcBorders>
              <w:top w:val="single" w:sz="2" w:space="0" w:color="CBD5E1"/>
              <w:left w:val="single" w:sz="2" w:space="0" w:color="CBD5E1"/>
              <w:bottom w:val="single" w:sz="2" w:space="0" w:color="CBD5E1"/>
              <w:right w:val="single" w:sz="2" w:space="0" w:color="CBD5E1"/>
            </w:tcBorders>
            <w:shd w:fill="FEE2E2" w:val="clear"/>
            <w:vAlign w:val="center"/>
          </w:tcPr>
          <w:p>
            <w:pPr>
              <w:pStyle w:val="TableContents"/>
              <w:bidi w:val="0"/>
              <w:ind w:hanging="0" w:left="0" w:right="0"/>
              <w:jc w:val="left"/>
              <w:rPr/>
            </w:pPr>
            <w:r>
              <w:rPr/>
              <w:t>Required</w:t>
            </w:r>
          </w:p>
        </w:tc>
        <w:tc>
          <w:tcPr>
            <w:tcW w:w="5362"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organisation should maintain and evidence an incident response plan, breach playbook, and security compromise notification process.</w:t>
            </w:r>
          </w:p>
        </w:tc>
      </w:tr>
      <w:tr>
        <w:trPr/>
        <w:tc>
          <w:tcPr>
            <w:tcW w:w="2331"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Infrastructure assurance evidence</w:t>
            </w:r>
          </w:p>
        </w:tc>
        <w:tc>
          <w:tcPr>
            <w:tcW w:w="1333" w:type="dxa"/>
            <w:tcBorders>
              <w:top w:val="single" w:sz="2" w:space="0" w:color="CBD5E1"/>
              <w:left w:val="single" w:sz="2" w:space="0" w:color="CBD5E1"/>
              <w:bottom w:val="single" w:sz="2" w:space="0" w:color="CBD5E1"/>
              <w:right w:val="single" w:sz="2" w:space="0" w:color="CBD5E1"/>
            </w:tcBorders>
            <w:shd w:fill="E0F2FE" w:val="clear"/>
            <w:vAlign w:val="center"/>
          </w:tcPr>
          <w:p>
            <w:pPr>
              <w:pStyle w:val="TableContents"/>
              <w:bidi w:val="0"/>
              <w:ind w:hanging="0" w:left="0" w:right="0"/>
              <w:jc w:val="left"/>
              <w:rPr/>
            </w:pPr>
            <w:r>
              <w:rPr/>
              <w:t>Operational</w:t>
            </w:r>
          </w:p>
        </w:tc>
        <w:tc>
          <w:tcPr>
            <w:tcW w:w="5362" w:type="dxa"/>
            <w:tcBorders>
              <w:top w:val="single" w:sz="2" w:space="0" w:color="CBD5E1"/>
              <w:left w:val="single" w:sz="2" w:space="0" w:color="CBD5E1"/>
              <w:bottom w:val="single" w:sz="2" w:space="0" w:color="CBD5E1"/>
              <w:right w:val="single" w:sz="2" w:space="0" w:color="CBD5E1"/>
            </w:tcBorders>
            <w:vAlign w:val="center"/>
          </w:tcPr>
          <w:p>
            <w:pPr>
              <w:pStyle w:val="TableContents"/>
              <w:bidi w:val="0"/>
              <w:jc w:val="left"/>
              <w:rPr/>
            </w:pPr>
            <w:r>
              <w:rPr/>
              <w:t>Backups, restore testing, host hardening, SIEM monitoring, patching, and DR are required operational controls and should be separately documented.</w:t>
            </w:r>
          </w:p>
        </w:tc>
      </w:tr>
    </w:tbl>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9. Why the System Can Be Presented as Secure</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system can credibly be presented as secure for stakeholder review because it already demonstrates the following positive security characteristics:</w:t>
      </w:r>
    </w:p>
    <w:p>
      <w:pPr>
        <w:pStyle w:val="BodyText"/>
        <w:widowControl/>
        <w:numPr>
          <w:ilvl w:val="0"/>
          <w:numId w:val="1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all business operations occur inside an authenticated application environment rather than unmanaged consumer messaging workflows,</w:t>
      </w:r>
    </w:p>
    <w:p>
      <w:pPr>
        <w:pStyle w:val="BodyText"/>
        <w:widowControl/>
        <w:numPr>
          <w:ilvl w:val="0"/>
          <w:numId w:val="1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key user actions are logged and attributable,</w:t>
      </w:r>
    </w:p>
    <w:p>
      <w:pPr>
        <w:pStyle w:val="BodyText"/>
        <w:widowControl/>
        <w:numPr>
          <w:ilvl w:val="0"/>
          <w:numId w:val="1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WhatsApp messaging is integrated through Meta’s official Cloud API rather than unapproved automation tooling,</w:t>
      </w:r>
    </w:p>
    <w:p>
      <w:pPr>
        <w:pStyle w:val="BodyText"/>
        <w:widowControl/>
        <w:numPr>
          <w:ilvl w:val="0"/>
          <w:numId w:val="1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template-based messaging supports more controlled outbound communication,</w:t>
      </w:r>
    </w:p>
    <w:p>
      <w:pPr>
        <w:pStyle w:val="BodyText"/>
        <w:widowControl/>
        <w:numPr>
          <w:ilvl w:val="0"/>
          <w:numId w:val="1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delivery events and inbound replies are retained within a central CRM record,</w:t>
      </w:r>
    </w:p>
    <w:p>
      <w:pPr>
        <w:pStyle w:val="BodyText"/>
        <w:widowControl/>
        <w:numPr>
          <w:ilvl w:val="0"/>
          <w:numId w:val="1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administrative access is separated from ordinary operational access,</w:t>
      </w:r>
    </w:p>
    <w:p>
      <w:pPr>
        <w:pStyle w:val="BodyText"/>
        <w:widowControl/>
        <w:numPr>
          <w:ilvl w:val="0"/>
          <w:numId w:val="12"/>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application already supports a move toward stronger controls such as MFA, tighter roles, and bank-grade segregation.</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These controls are meaningful because they reduce the risk of unmanaged data sharing, hidden agent activity, unauthorised message sending, and untraceable debtor communications.</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10. Why the System Must Still Be Described Carefully</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 strong security document should not overstate the present state of the application. Instead, it should state that the system is designed to be secure, already contains important application-layer controls, and is capable of meeting stricter bank requirements when the remaining technical and operational controls are implemented and evidenced.</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11. Recommended Security Evidence Pack for Banks</w:t>
      </w:r>
    </w:p>
    <w:p>
      <w:pPr>
        <w:pStyle w:val="BodyText"/>
        <w:widowControl/>
        <w:numPr>
          <w:ilvl w:val="0"/>
          <w:numId w:val="1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this security and compliance statement,</w:t>
      </w:r>
    </w:p>
    <w:p>
      <w:pPr>
        <w:pStyle w:val="BodyText"/>
        <w:widowControl/>
        <w:numPr>
          <w:ilvl w:val="0"/>
          <w:numId w:val="1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application architecture and data-flow diagrams,</w:t>
      </w:r>
    </w:p>
    <w:p>
      <w:pPr>
        <w:pStyle w:val="BodyText"/>
        <w:widowControl/>
        <w:numPr>
          <w:ilvl w:val="0"/>
          <w:numId w:val="1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POPIA compliance framework and Information Officer registration evidence,</w:t>
      </w:r>
    </w:p>
    <w:p>
      <w:pPr>
        <w:pStyle w:val="BodyText"/>
        <w:widowControl/>
        <w:numPr>
          <w:ilvl w:val="0"/>
          <w:numId w:val="1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PAIA manual and access-request process,</w:t>
      </w:r>
    </w:p>
    <w:p>
      <w:pPr>
        <w:pStyle w:val="BodyText"/>
        <w:widowControl/>
        <w:numPr>
          <w:ilvl w:val="0"/>
          <w:numId w:val="1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incident response plan and security compromise workflow,</w:t>
      </w:r>
    </w:p>
    <w:p>
      <w:pPr>
        <w:pStyle w:val="BodyText"/>
        <w:widowControl/>
        <w:numPr>
          <w:ilvl w:val="0"/>
          <w:numId w:val="1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backup and disaster recovery plan,</w:t>
      </w:r>
    </w:p>
    <w:p>
      <w:pPr>
        <w:pStyle w:val="BodyText"/>
        <w:widowControl/>
        <w:numPr>
          <w:ilvl w:val="0"/>
          <w:numId w:val="1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access control and MFA policy,</w:t>
      </w:r>
    </w:p>
    <w:p>
      <w:pPr>
        <w:pStyle w:val="BodyText"/>
        <w:widowControl/>
        <w:numPr>
          <w:ilvl w:val="0"/>
          <w:numId w:val="1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retention and deletion policy,</w:t>
      </w:r>
    </w:p>
    <w:p>
      <w:pPr>
        <w:pStyle w:val="BodyText"/>
        <w:widowControl/>
        <w:numPr>
          <w:ilvl w:val="0"/>
          <w:numId w:val="1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sub-processor register,</w:t>
      </w:r>
    </w:p>
    <w:p>
      <w:pPr>
        <w:pStyle w:val="BodyText"/>
        <w:widowControl/>
        <w:numPr>
          <w:ilvl w:val="0"/>
          <w:numId w:val="1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Meta business verification and template governance evidence,</w:t>
      </w:r>
    </w:p>
    <w:p>
      <w:pPr>
        <w:pStyle w:val="BodyText"/>
        <w:widowControl/>
        <w:numPr>
          <w:ilvl w:val="0"/>
          <w:numId w:val="1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audit log samples,</w:t>
      </w:r>
    </w:p>
    <w:p>
      <w:pPr>
        <w:pStyle w:val="BodyText"/>
        <w:widowControl/>
        <w:numPr>
          <w:ilvl w:val="0"/>
          <w:numId w:val="13"/>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vulnerability scan and penetration test evidence.</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12. Source and Regulatory Reference Links</w:t>
      </w:r>
    </w:p>
    <w:p>
      <w:pPr>
        <w:pStyle w:val="BodyText"/>
        <w:widowControl/>
        <w:bidi w:val="0"/>
        <w:ind w:hanging="0" w:left="0"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The compliance position in this document is informed by the following official and primary sources:</w:t>
      </w:r>
    </w:p>
    <w:p>
      <w:pPr>
        <w:pStyle w:val="BodyText"/>
        <w:widowControl/>
        <w:numPr>
          <w:ilvl w:val="0"/>
          <w:numId w:val="1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Information Regulator POPIA portal: https://inforegulator.org.za/popia/</w:t>
      </w:r>
    </w:p>
    <w:p>
      <w:pPr>
        <w:pStyle w:val="BodyText"/>
        <w:widowControl/>
        <w:numPr>
          <w:ilvl w:val="0"/>
          <w:numId w:val="1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Information Regulator PAIA portal: https://inforegulator.org.za/paia/</w:t>
      </w:r>
    </w:p>
    <w:p>
      <w:pPr>
        <w:pStyle w:val="BodyText"/>
        <w:widowControl/>
        <w:numPr>
          <w:ilvl w:val="0"/>
          <w:numId w:val="1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Information Regulator eServices and breach / information officer services: https://eservices.inforegulator.org.za/services.aspx</w:t>
      </w:r>
    </w:p>
    <w:p>
      <w:pPr>
        <w:pStyle w:val="BodyText"/>
        <w:widowControl/>
        <w:numPr>
          <w:ilvl w:val="0"/>
          <w:numId w:val="1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POPIA section 19 security safeguards: https://inforegulator.org.za/knowledge-base/category/popia/chapter-3-conditions-for-lawful-processing/part-a-processing-of-personal-information-in-general/condition-7-security-safeguards/</w:t>
      </w:r>
    </w:p>
    <w:p>
      <w:pPr>
        <w:pStyle w:val="BodyText"/>
        <w:widowControl/>
        <w:numPr>
          <w:ilvl w:val="0"/>
          <w:numId w:val="1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POPIA section 22 security compromise guidance: https://inforegulator.org.za/wp-content/uploads/2020/07/Guidelines-on-completing-a-Security-Compromise-Notification-ito-Section-22-POPIA.pdf</w:t>
      </w:r>
    </w:p>
    <w:p>
      <w:pPr>
        <w:pStyle w:val="BodyText"/>
        <w:widowControl/>
        <w:numPr>
          <w:ilvl w:val="0"/>
          <w:numId w:val="1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Cybercrimes Act: https://www.justice.gov.za/legislation/acts/2020-019-Cybercrimes.pdf</w:t>
      </w:r>
    </w:p>
    <w:p>
      <w:pPr>
        <w:pStyle w:val="BodyText"/>
        <w:widowControl/>
        <w:numPr>
          <w:ilvl w:val="0"/>
          <w:numId w:val="1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National Credit Act: https://www.ncr.org.za/documents/pages/download_act/NATIONAL_CREDIT_ACT.pdf</w:t>
      </w:r>
    </w:p>
    <w:p>
      <w:pPr>
        <w:pStyle w:val="BodyText"/>
        <w:widowControl/>
        <w:numPr>
          <w:ilvl w:val="0"/>
          <w:numId w:val="1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FSCA Communication 34 of 2023 on cyber resilience: https://www.fsca.co.za/Regulatory%20Frameworks/Regulatory%20Frameworks%20Documents/FSCA%20Communication%2034%20of%202023%20%28GENERAL%29.pdf</w:t>
      </w:r>
    </w:p>
    <w:p>
      <w:pPr>
        <w:pStyle w:val="BodyText"/>
        <w:widowControl/>
        <w:numPr>
          <w:ilvl w:val="0"/>
          <w:numId w:val="14"/>
        </w:numPr>
        <w:tabs>
          <w:tab w:val="clear" w:pos="709"/>
          <w:tab w:val="left" w:pos="0" w:leader="none"/>
        </w:tabs>
        <w:bidi w:val="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Meta WhatsApp Cloud API overview: https://meta-preview.mintlify.io/docs/whatsapp/cloud-api/overview</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13. Conclusion</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Strauss Recovery Solutions WhatsApp CRM already includes several important security controls that support safe debtor communication, traceability, and controlled access. These controls make it materially safer than unmanaged or informal messaging workflows.</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For strict multi-bank use across South Africa, the platform should be positioned as a secure and maturing control environment with additional bank-grade enhancements still required in areas such as tenant segregation, enforced MFA, webhook signature validation, secret protection, opt-in governance, and operational resilience evidence.</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Presented in this way, the document provides a realistic, defensible, and credible explanation of how the system protects user data, how it supports compliance, and what measures are in place or required to satisfy strict banking stakeholders.</w:t>
      </w:r>
    </w:p>
    <w:p>
      <w:pPr>
        <w:pStyle w:val="Normal"/>
        <w:bidi w:val="0"/>
        <w:jc w:val="left"/>
        <w:rPr/>
      </w:pPr>
      <w:r>
        <w:rPr/>
      </w:r>
    </w:p>
    <w:sectPr>
      <w:type w:val="nextPage"/>
      <w:pgSz w:w="11906" w:h="16838"/>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w:altName w:val="Helvetica"/>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Noto Serif CJK SC" w:cs="Noto Sans Devanagari"/>
      <w:color w:val="auto"/>
      <w:kern w:val="2"/>
      <w:sz w:val="22"/>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439</TotalTime>
  <Application>LibreOffice/24.2.7.2$Linux_X86_64 LibreOffice_project/420$Build-2</Application>
  <AppVersion>15.0000</AppVersion>
  <Pages>8</Pages>
  <Words>2291</Words>
  <Characters>15326</Characters>
  <CharactersWithSpaces>17315</CharactersWithSpaces>
  <Paragraphs>215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OpenAI Codex</dc:creator>
  <dc:description/>
  <dc:language>en-US</dc:language>
  <cp:lastModifiedBy/>
  <dcterms:modified xsi:type="dcterms:W3CDTF">2026-06-05T04:54:08Z</dcterms:modified>
  <cp:revision>1</cp:revision>
  <dc:subject/>
  <dc:title>Security and Compliance Framework</dc:title>
</cp:coreProperties>
</file>