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DAA35" w14:textId="500C2B3C" w:rsidR="00F77C34" w:rsidRDefault="00F77C34" w:rsidP="00F77C34">
      <w:pPr>
        <w:pStyle w:val="BodyText"/>
        <w:spacing w:before="10"/>
        <w:ind w:left="0"/>
        <w:rPr>
          <w:w w:val="95"/>
          <w:sz w:val="48"/>
          <w:szCs w:val="48"/>
        </w:rPr>
      </w:pPr>
      <w:r w:rsidRPr="00F77C34">
        <w:rPr>
          <w:w w:val="95"/>
          <w:sz w:val="48"/>
          <w:szCs w:val="48"/>
        </w:rPr>
        <w:t>Developing a system for Patient Care in the Health Sector</w:t>
      </w:r>
    </w:p>
    <w:p w14:paraId="4048544B" w14:textId="77777777" w:rsidR="00F77C34" w:rsidRDefault="00F77C34">
      <w:pPr>
        <w:pStyle w:val="BodyText"/>
        <w:spacing w:before="10"/>
        <w:ind w:left="0"/>
        <w:rPr>
          <w:sz w:val="9"/>
        </w:rPr>
      </w:pPr>
    </w:p>
    <w:p w14:paraId="52CDFA49" w14:textId="77777777" w:rsidR="005D04B3" w:rsidRDefault="005D04B3">
      <w:pPr>
        <w:rPr>
          <w:sz w:val="9"/>
        </w:rPr>
        <w:sectPr w:rsidR="005D04B3">
          <w:type w:val="continuous"/>
          <w:pgSz w:w="12240" w:h="15840"/>
          <w:pgMar w:top="1380" w:right="1320" w:bottom="280" w:left="1340" w:header="720" w:footer="720" w:gutter="0"/>
          <w:cols w:space="720"/>
        </w:sectPr>
      </w:pPr>
    </w:p>
    <w:p w14:paraId="430796D0" w14:textId="77777777" w:rsidR="005D04B3" w:rsidRDefault="005D04B3">
      <w:pPr>
        <w:pStyle w:val="BodyText"/>
        <w:spacing w:before="4"/>
        <w:ind w:left="0"/>
        <w:rPr>
          <w:sz w:val="43"/>
        </w:rPr>
      </w:pPr>
    </w:p>
    <w:p w14:paraId="153190AB" w14:textId="77777777" w:rsidR="005D04B3" w:rsidRDefault="00F80C1F">
      <w:pPr>
        <w:pStyle w:val="ListParagraph"/>
        <w:numPr>
          <w:ilvl w:val="0"/>
          <w:numId w:val="3"/>
        </w:numPr>
        <w:tabs>
          <w:tab w:val="left" w:pos="820"/>
        </w:tabs>
        <w:spacing w:before="0"/>
        <w:rPr>
          <w:b/>
          <w:sz w:val="28"/>
        </w:rPr>
      </w:pPr>
      <w:r>
        <w:rPr>
          <w:b/>
          <w:sz w:val="28"/>
          <w:u w:val="thick"/>
        </w:rPr>
        <w:t>ABSTRACT:</w:t>
      </w:r>
    </w:p>
    <w:p w14:paraId="2987A133" w14:textId="42FE1061" w:rsidR="005D04B3" w:rsidRDefault="00F80C1F">
      <w:pPr>
        <w:spacing w:before="91"/>
        <w:ind w:left="460"/>
        <w:rPr>
          <w:sz w:val="20"/>
        </w:rPr>
      </w:pPr>
      <w:r>
        <w:br w:type="column"/>
      </w:r>
      <w:r>
        <w:rPr>
          <w:w w:val="95"/>
          <w:sz w:val="20"/>
        </w:rPr>
        <w:t>-</w:t>
      </w:r>
      <w:r w:rsidR="00F77C34">
        <w:rPr>
          <w:w w:val="95"/>
          <w:sz w:val="20"/>
        </w:rPr>
        <w:t>On Health association</w:t>
      </w:r>
    </w:p>
    <w:p w14:paraId="227D7B3B" w14:textId="77777777" w:rsidR="005D04B3" w:rsidRDefault="005D04B3">
      <w:pPr>
        <w:rPr>
          <w:sz w:val="20"/>
        </w:rPr>
      </w:pPr>
    </w:p>
    <w:p w14:paraId="533FFA64" w14:textId="77777777" w:rsidR="00F77C34" w:rsidRDefault="00F77C34">
      <w:pPr>
        <w:rPr>
          <w:sz w:val="20"/>
        </w:rPr>
        <w:sectPr w:rsidR="00F77C34">
          <w:type w:val="continuous"/>
          <w:pgSz w:w="12240" w:h="15840"/>
          <w:pgMar w:top="1380" w:right="1320" w:bottom="280" w:left="1340" w:header="720" w:footer="720" w:gutter="0"/>
          <w:cols w:num="2" w:space="720" w:equalWidth="0">
            <w:col w:w="2463" w:space="3417"/>
            <w:col w:w="3700"/>
          </w:cols>
        </w:sectPr>
      </w:pPr>
    </w:p>
    <w:p w14:paraId="3733EF1A" w14:textId="77777777" w:rsidR="005D04B3" w:rsidRDefault="005D04B3">
      <w:pPr>
        <w:pStyle w:val="BodyText"/>
        <w:ind w:left="0"/>
        <w:rPr>
          <w:sz w:val="20"/>
        </w:rPr>
      </w:pPr>
    </w:p>
    <w:p w14:paraId="5E6881CC" w14:textId="77777777" w:rsidR="005D04B3" w:rsidRDefault="00F80C1F">
      <w:pPr>
        <w:pStyle w:val="Heading1"/>
        <w:numPr>
          <w:ilvl w:val="0"/>
          <w:numId w:val="2"/>
        </w:numPr>
        <w:tabs>
          <w:tab w:val="left" w:pos="817"/>
          <w:tab w:val="left" w:pos="818"/>
        </w:tabs>
        <w:spacing w:before="256" w:line="342" w:lineRule="exact"/>
        <w:rPr>
          <w:rFonts w:ascii="Symbol" w:hAnsi="Symbol"/>
        </w:rPr>
      </w:pPr>
      <w:r>
        <w:rPr>
          <w:spacing w:val="-3"/>
        </w:rPr>
        <w:t>PROBLEM</w:t>
      </w:r>
      <w:r>
        <w:rPr>
          <w:spacing w:val="-12"/>
        </w:rPr>
        <w:t xml:space="preserve"> </w:t>
      </w:r>
      <w:r>
        <w:rPr>
          <w:spacing w:val="-3"/>
        </w:rPr>
        <w:t>STATEMENT:</w:t>
      </w:r>
    </w:p>
    <w:p w14:paraId="6A4868A4" w14:textId="02F60EB8" w:rsidR="005D04B3" w:rsidRPr="00F77C34" w:rsidRDefault="00F77C34" w:rsidP="00F77C34">
      <w:pPr>
        <w:pStyle w:val="BodyText"/>
        <w:numPr>
          <w:ilvl w:val="0"/>
          <w:numId w:val="2"/>
        </w:numPr>
        <w:rPr>
          <w:sz w:val="20"/>
        </w:rPr>
      </w:pPr>
      <w:r w:rsidRPr="00F77C34">
        <w:rPr>
          <w:sz w:val="20"/>
        </w:rPr>
        <w:t xml:space="preserve">As the demand for healthcare services continues to increase, healthcare professionals are facing challenges in meeting the needs of patients while maintaining quality care. One of the major challenges is providing 24/7 care for patients who require continuous monitoring and </w:t>
      </w:r>
      <w:proofErr w:type="spellStart"/>
      <w:r w:rsidRPr="00F77C34">
        <w:rPr>
          <w:sz w:val="20"/>
        </w:rPr>
        <w:t>assistance.The</w:t>
      </w:r>
      <w:proofErr w:type="spellEnd"/>
      <w:r w:rsidRPr="00F77C34">
        <w:rPr>
          <w:sz w:val="20"/>
        </w:rPr>
        <w:t xml:space="preserve"> challenge for this hackathon would be to develop innovative and effective solutions for designing and building robots for patient care in the health sector</w:t>
      </w:r>
      <w:r w:rsidRPr="00F77C34">
        <w:t xml:space="preserve"> </w:t>
      </w:r>
      <w:r w:rsidRPr="00F77C34">
        <w:rPr>
          <w:sz w:val="20"/>
        </w:rPr>
        <w:t>Participants would need to consider various factors such as safety, reliability, ease of use, and affordability, while also ensuring that the robots are designed to meet the unique needs of patients in different healthcare settings.</w:t>
      </w:r>
      <w:r w:rsidR="00F80C1F" w:rsidRPr="00F77C34">
        <w:rPr>
          <w:color w:val="111111"/>
        </w:rPr>
        <w:t>.</w:t>
      </w:r>
    </w:p>
    <w:p w14:paraId="76E34D3E" w14:textId="77777777" w:rsidR="005D04B3" w:rsidRDefault="005D04B3">
      <w:pPr>
        <w:pStyle w:val="BodyText"/>
        <w:ind w:left="0"/>
        <w:rPr>
          <w:sz w:val="24"/>
        </w:rPr>
      </w:pPr>
    </w:p>
    <w:p w14:paraId="0917326C" w14:textId="77777777" w:rsidR="005D04B3" w:rsidRDefault="00F80C1F">
      <w:pPr>
        <w:pStyle w:val="Heading1"/>
        <w:numPr>
          <w:ilvl w:val="0"/>
          <w:numId w:val="2"/>
        </w:numPr>
        <w:tabs>
          <w:tab w:val="left" w:pos="817"/>
          <w:tab w:val="left" w:pos="818"/>
        </w:tabs>
        <w:spacing w:before="140"/>
        <w:rPr>
          <w:rFonts w:ascii="Symbol" w:hAnsi="Symbol"/>
          <w:color w:val="111111"/>
        </w:rPr>
      </w:pPr>
      <w:r>
        <w:rPr>
          <w:color w:val="111111"/>
          <w:spacing w:val="-7"/>
        </w:rPr>
        <w:t>STATISTICAL</w:t>
      </w:r>
      <w:r>
        <w:rPr>
          <w:color w:val="111111"/>
          <w:spacing w:val="-8"/>
        </w:rPr>
        <w:t xml:space="preserve"> </w:t>
      </w:r>
      <w:r>
        <w:rPr>
          <w:color w:val="111111"/>
          <w:spacing w:val="-6"/>
        </w:rPr>
        <w:t>DATA:</w:t>
      </w:r>
    </w:p>
    <w:p w14:paraId="4E557F2B" w14:textId="5018D0B1" w:rsidR="005D04B3" w:rsidRPr="00B9786D" w:rsidRDefault="00F77C34" w:rsidP="00B9786D">
      <w:pPr>
        <w:pStyle w:val="BodyText"/>
        <w:ind w:right="170"/>
      </w:pPr>
      <w:r w:rsidRPr="00B9786D">
        <w:t>The global remote patient monitoring market was valued at approximately USD 694.4 million in 2020, with an expected compound annual growth rate (CAGR) of around 17.4% from 2021 to 2028 (Grand View Research)</w:t>
      </w:r>
    </w:p>
    <w:p w14:paraId="761AAC23" w14:textId="77777777" w:rsidR="00B9786D" w:rsidRPr="00B9786D" w:rsidRDefault="00B9786D">
      <w:pPr>
        <w:pStyle w:val="BodyText"/>
        <w:ind w:right="170"/>
        <w:rPr>
          <w:rFonts w:ascii="Segoe UI" w:hAnsi="Segoe UI" w:cs="Segoe UI"/>
          <w:highlight w:val="black"/>
          <w:shd w:val="clear" w:color="auto" w:fill="343541"/>
        </w:rPr>
      </w:pPr>
    </w:p>
    <w:p w14:paraId="190A5110" w14:textId="3706872C" w:rsidR="00B9786D" w:rsidRDefault="00B9786D">
      <w:pPr>
        <w:pStyle w:val="BodyText"/>
        <w:ind w:right="170"/>
      </w:pPr>
      <w:r w:rsidRPr="00B9786D">
        <w:t>The COVID-19 pandemic significantly accelerated the adoption of telehealth and remote patient monitoring. A report by McKinsey in 2021 noted that telehealth utilization in the United States increased from 11% in 2019 to 46% in 2020.</w:t>
      </w:r>
    </w:p>
    <w:p w14:paraId="40FC7F65" w14:textId="77777777" w:rsidR="005D04B3" w:rsidRDefault="005D04B3">
      <w:pPr>
        <w:pStyle w:val="BodyText"/>
        <w:spacing w:before="5"/>
        <w:ind w:left="0"/>
        <w:rPr>
          <w:sz w:val="29"/>
        </w:rPr>
      </w:pPr>
    </w:p>
    <w:p w14:paraId="31B01950" w14:textId="77777777" w:rsidR="005D04B3" w:rsidRDefault="00F80C1F">
      <w:pPr>
        <w:pStyle w:val="Heading1"/>
        <w:numPr>
          <w:ilvl w:val="0"/>
          <w:numId w:val="2"/>
        </w:numPr>
        <w:tabs>
          <w:tab w:val="left" w:pos="817"/>
          <w:tab w:val="left" w:pos="818"/>
        </w:tabs>
        <w:rPr>
          <w:rFonts w:ascii="Symbol" w:hAnsi="Symbol"/>
          <w:color w:val="111111"/>
        </w:rPr>
      </w:pPr>
      <w:r>
        <w:rPr>
          <w:color w:val="111111"/>
          <w:spacing w:val="-1"/>
        </w:rPr>
        <w:t>EXISTING</w:t>
      </w:r>
      <w:r>
        <w:rPr>
          <w:color w:val="111111"/>
          <w:spacing w:val="-16"/>
        </w:rPr>
        <w:t xml:space="preserve"> </w:t>
      </w:r>
      <w:r>
        <w:rPr>
          <w:color w:val="111111"/>
          <w:spacing w:val="-1"/>
        </w:rPr>
        <w:t>SOLUTIONS</w:t>
      </w:r>
      <w:r>
        <w:rPr>
          <w:color w:val="111111"/>
          <w:spacing w:val="-21"/>
        </w:rPr>
        <w:t xml:space="preserve"> </w:t>
      </w:r>
      <w:r>
        <w:rPr>
          <w:color w:val="111111"/>
          <w:spacing w:val="-1"/>
        </w:rPr>
        <w:t>AND</w:t>
      </w:r>
      <w:r>
        <w:rPr>
          <w:color w:val="111111"/>
          <w:spacing w:val="-13"/>
        </w:rPr>
        <w:t xml:space="preserve"> </w:t>
      </w:r>
      <w:r>
        <w:rPr>
          <w:color w:val="111111"/>
          <w:spacing w:val="-1"/>
        </w:rPr>
        <w:t>IT’S</w:t>
      </w:r>
      <w:r>
        <w:rPr>
          <w:color w:val="111111"/>
          <w:spacing w:val="-15"/>
        </w:rPr>
        <w:t xml:space="preserve"> </w:t>
      </w:r>
      <w:r>
        <w:rPr>
          <w:color w:val="111111"/>
          <w:spacing w:val="-1"/>
        </w:rPr>
        <w:t>DRAWBACKS:</w:t>
      </w:r>
    </w:p>
    <w:p w14:paraId="4BC7E0D0" w14:textId="77777777" w:rsidR="005D04B3" w:rsidRPr="003B2B6B" w:rsidRDefault="005D04B3" w:rsidP="003B2B6B">
      <w:pPr>
        <w:pStyle w:val="BodyText"/>
        <w:ind w:right="170"/>
      </w:pPr>
    </w:p>
    <w:p w14:paraId="4E0861BB" w14:textId="427008E7" w:rsidR="005D04B3" w:rsidRDefault="00F80C1F" w:rsidP="003B2B6B">
      <w:pPr>
        <w:pStyle w:val="BodyText"/>
        <w:ind w:right="170"/>
      </w:pPr>
      <w:r w:rsidRPr="003B2B6B">
        <w:t>[1]-</w:t>
      </w:r>
      <w:r w:rsidRPr="003B2B6B">
        <w:t xml:space="preserve"> </w:t>
      </w:r>
      <w:r w:rsidR="00B9786D" w:rsidRPr="003B2B6B">
        <w:t>Wearable Devices</w:t>
      </w:r>
      <w:r w:rsidRPr="003B2B6B">
        <w:t>.</w:t>
      </w:r>
    </w:p>
    <w:p w14:paraId="329A186E" w14:textId="345E4961" w:rsidR="005D04B3" w:rsidRDefault="00F80C1F" w:rsidP="003B2B6B">
      <w:pPr>
        <w:pStyle w:val="BodyText"/>
        <w:ind w:right="170"/>
      </w:pPr>
      <w:r w:rsidRPr="003B2B6B">
        <w:t>DRAWBACK:</w:t>
      </w:r>
      <w:r w:rsidRPr="003B2B6B">
        <w:t xml:space="preserve"> </w:t>
      </w:r>
      <w:r w:rsidR="00B9786D" w:rsidRPr="003B2B6B">
        <w:t>Accuracy can vary, especially during high-intensity activities. Additionally, users may not consistently wear these devices, leading to gaps in data collection</w:t>
      </w:r>
      <w:r w:rsidRPr="003B2B6B">
        <w:t>.</w:t>
      </w:r>
    </w:p>
    <w:p w14:paraId="5CA7F11A" w14:textId="3AA342A4" w:rsidR="005D04B3" w:rsidRDefault="00F80C1F" w:rsidP="003B2B6B">
      <w:pPr>
        <w:pStyle w:val="BodyText"/>
        <w:ind w:right="170"/>
      </w:pPr>
      <w:r w:rsidRPr="003B2B6B">
        <w:t>[2]-</w:t>
      </w:r>
      <w:r w:rsidRPr="003B2B6B">
        <w:t xml:space="preserve"> </w:t>
      </w:r>
      <w:r w:rsidR="00B9786D" w:rsidRPr="003B2B6B">
        <w:rPr>
          <w:b/>
          <w:bCs/>
        </w:rPr>
        <w:t>Telehealth Platforms</w:t>
      </w:r>
    </w:p>
    <w:p w14:paraId="31D954AD" w14:textId="424ADF60" w:rsidR="005D04B3" w:rsidRDefault="00F80C1F" w:rsidP="003B2B6B">
      <w:pPr>
        <w:pStyle w:val="BodyText"/>
        <w:ind w:right="170"/>
      </w:pPr>
      <w:r w:rsidRPr="003B2B6B">
        <w:t>DRAWBACK:</w:t>
      </w:r>
      <w:r w:rsidRPr="003B2B6B">
        <w:t xml:space="preserve"> </w:t>
      </w:r>
      <w:r w:rsidR="00B9786D" w:rsidRPr="003B2B6B">
        <w:t>Limited physical examination capabilities compared to in-person visits. The effectiveness depends on patient compliance and access to necessary technology.</w:t>
      </w:r>
    </w:p>
    <w:p w14:paraId="79924FB4" w14:textId="5559BBDC" w:rsidR="005D04B3" w:rsidRDefault="00F80C1F" w:rsidP="003B2B6B">
      <w:pPr>
        <w:pStyle w:val="BodyText"/>
        <w:ind w:right="170"/>
      </w:pPr>
      <w:r w:rsidRPr="003B2B6B">
        <w:t>[3]-</w:t>
      </w:r>
      <w:r w:rsidRPr="003B2B6B">
        <w:t xml:space="preserve"> </w:t>
      </w:r>
      <w:r w:rsidR="00B9786D" w:rsidRPr="003B2B6B">
        <w:rPr>
          <w:b/>
          <w:bCs/>
        </w:rPr>
        <w:t>Remote Patient Monitoring (RPM) Systems</w:t>
      </w:r>
    </w:p>
    <w:p w14:paraId="7D08AAF1" w14:textId="24122A33" w:rsidR="005D04B3" w:rsidRDefault="00F80C1F" w:rsidP="003B2B6B">
      <w:pPr>
        <w:pStyle w:val="BodyText"/>
        <w:ind w:right="170"/>
      </w:pPr>
      <w:r w:rsidRPr="003B2B6B">
        <w:t>DRAWBACK:</w:t>
      </w:r>
      <w:r w:rsidR="003B2B6B" w:rsidRPr="003B2B6B">
        <w:t xml:space="preserve"> I</w:t>
      </w:r>
      <w:r w:rsidR="003B2B6B" w:rsidRPr="003B2B6B">
        <w:t>nitial costs and potential challenges with patient adherence. Some systems may lack seamless integration with existing healthcare workflows.</w:t>
      </w:r>
    </w:p>
    <w:p w14:paraId="5092D7CF" w14:textId="48982A89" w:rsidR="005D04B3" w:rsidRDefault="00F80C1F" w:rsidP="003B2B6B">
      <w:pPr>
        <w:pStyle w:val="BodyText"/>
        <w:ind w:right="170"/>
      </w:pPr>
      <w:r w:rsidRPr="003B2B6B">
        <w:t>[4]-</w:t>
      </w:r>
      <w:r w:rsidRPr="003B2B6B">
        <w:t xml:space="preserve"> </w:t>
      </w:r>
      <w:r w:rsidR="003B2B6B" w:rsidRPr="003B2B6B">
        <w:rPr>
          <w:b/>
          <w:bCs/>
        </w:rPr>
        <w:t>Hospital-Based Monitoring Systems</w:t>
      </w:r>
      <w:r w:rsidR="003B2B6B" w:rsidRPr="003B2B6B">
        <w:rPr>
          <w:b/>
          <w:bCs/>
        </w:rPr>
        <w:tab/>
      </w:r>
    </w:p>
    <w:p w14:paraId="2C6E0E92" w14:textId="6BC4A294" w:rsidR="005D04B3" w:rsidRDefault="00F80C1F" w:rsidP="003B2B6B">
      <w:pPr>
        <w:pStyle w:val="BodyText"/>
        <w:ind w:right="170"/>
      </w:pPr>
      <w:r w:rsidRPr="003B2B6B">
        <w:t>DRAWBACK</w:t>
      </w:r>
      <w:r w:rsidR="003B2B6B" w:rsidRPr="003B2B6B">
        <w:t xml:space="preserve">: </w:t>
      </w:r>
      <w:r w:rsidR="003B2B6B" w:rsidRPr="003B2B6B">
        <w:t>Tethered systems limit patient mobility, and continuous monitoring in non-critical settings can lead to alarm fatigue among healthcare providers</w:t>
      </w:r>
      <w:r w:rsidR="003B2B6B">
        <w:rPr>
          <w:rFonts w:ascii="Segoe UI" w:hAnsi="Segoe UI" w:cs="Segoe UI"/>
          <w:color w:val="D1D5DB"/>
          <w:shd w:val="clear" w:color="auto" w:fill="343541"/>
        </w:rPr>
        <w:t>.</w:t>
      </w:r>
    </w:p>
    <w:p w14:paraId="1531BFDF" w14:textId="77777777" w:rsidR="005D04B3" w:rsidRDefault="005D04B3">
      <w:pPr>
        <w:jc w:val="both"/>
        <w:sectPr w:rsidR="005D04B3">
          <w:type w:val="continuous"/>
          <w:pgSz w:w="12240" w:h="15840"/>
          <w:pgMar w:top="1380" w:right="1320" w:bottom="280" w:left="1340" w:header="720" w:footer="720" w:gutter="0"/>
          <w:cols w:space="720"/>
        </w:sectPr>
      </w:pPr>
    </w:p>
    <w:p w14:paraId="309A96C5" w14:textId="77777777" w:rsidR="005D04B3" w:rsidRDefault="00F80C1F">
      <w:pPr>
        <w:pStyle w:val="Heading1"/>
        <w:numPr>
          <w:ilvl w:val="0"/>
          <w:numId w:val="2"/>
        </w:numPr>
        <w:tabs>
          <w:tab w:val="left" w:pos="817"/>
          <w:tab w:val="left" w:pos="818"/>
        </w:tabs>
        <w:spacing w:before="170"/>
        <w:rPr>
          <w:rFonts w:ascii="Symbol" w:hAnsi="Symbol"/>
          <w:color w:val="111111"/>
          <w:sz w:val="22"/>
        </w:rPr>
      </w:pPr>
      <w:r>
        <w:rPr>
          <w:color w:val="111111"/>
        </w:rPr>
        <w:lastRenderedPageBreak/>
        <w:t>MY</w:t>
      </w:r>
      <w:r>
        <w:rPr>
          <w:color w:val="111111"/>
          <w:spacing w:val="-17"/>
        </w:rPr>
        <w:t xml:space="preserve"> </w:t>
      </w:r>
      <w:r>
        <w:rPr>
          <w:color w:val="111111"/>
        </w:rPr>
        <w:t>TEAM</w:t>
      </w:r>
      <w:r>
        <w:rPr>
          <w:color w:val="111111"/>
          <w:spacing w:val="-13"/>
        </w:rPr>
        <w:t xml:space="preserve"> </w:t>
      </w:r>
      <w:r>
        <w:rPr>
          <w:color w:val="111111"/>
        </w:rPr>
        <w:t>SOLUTION:</w:t>
      </w:r>
    </w:p>
    <w:p w14:paraId="3596C55B" w14:textId="7F3FCDB1" w:rsidR="005D04B3" w:rsidRDefault="00F80C1F">
      <w:pPr>
        <w:pStyle w:val="ListParagraph"/>
        <w:numPr>
          <w:ilvl w:val="0"/>
          <w:numId w:val="1"/>
        </w:numPr>
        <w:tabs>
          <w:tab w:val="left" w:pos="872"/>
          <w:tab w:val="left" w:pos="873"/>
        </w:tabs>
        <w:spacing w:before="178"/>
        <w:ind w:right="105" w:hanging="358"/>
      </w:pPr>
      <w:r>
        <w:tab/>
      </w:r>
      <w:r>
        <w:rPr>
          <w:color w:val="111111"/>
        </w:rPr>
        <w:t>We</w:t>
      </w:r>
      <w:r>
        <w:rPr>
          <w:color w:val="111111"/>
          <w:spacing w:val="-1"/>
        </w:rPr>
        <w:t xml:space="preserve"> </w:t>
      </w:r>
      <w:proofErr w:type="gramStart"/>
      <w:r>
        <w:rPr>
          <w:color w:val="111111"/>
        </w:rPr>
        <w:t>present</w:t>
      </w:r>
      <w:r>
        <w:rPr>
          <w:color w:val="111111"/>
          <w:spacing w:val="-5"/>
        </w:rPr>
        <w:t xml:space="preserve"> </w:t>
      </w:r>
      <w:r w:rsidR="00940357">
        <w:rPr>
          <w:color w:val="111111"/>
          <w:spacing w:val="-5"/>
        </w:rPr>
        <w:t>,</w:t>
      </w:r>
      <w:r w:rsidR="00940357" w:rsidRPr="00940357">
        <w:t>This</w:t>
      </w:r>
      <w:proofErr w:type="gramEnd"/>
      <w:r w:rsidR="00940357" w:rsidRPr="00940357">
        <w:t xml:space="preserve"> patient care system aims to provide continuous monitoring with a personalized touch, integrating vital signs and facial recognition for a more holistic approach to patient care</w:t>
      </w:r>
      <w:r w:rsidRPr="00940357">
        <w:t>.</w:t>
      </w:r>
    </w:p>
    <w:p w14:paraId="741DF9F7" w14:textId="2202B959" w:rsidR="005D04B3" w:rsidRDefault="00F80C1F">
      <w:pPr>
        <w:pStyle w:val="ListParagraph"/>
        <w:numPr>
          <w:ilvl w:val="0"/>
          <w:numId w:val="1"/>
        </w:numPr>
        <w:tabs>
          <w:tab w:val="left" w:pos="818"/>
        </w:tabs>
        <w:ind w:right="568" w:hanging="358"/>
        <w:jc w:val="both"/>
      </w:pPr>
      <w:r>
        <w:rPr>
          <w:color w:val="111111"/>
        </w:rPr>
        <w:t xml:space="preserve">This device operates </w:t>
      </w:r>
      <w:r w:rsidR="00940357">
        <w:rPr>
          <w:color w:val="111111"/>
        </w:rPr>
        <w:t xml:space="preserve">in the monitoring and sensing </w:t>
      </w:r>
      <w:proofErr w:type="gramStart"/>
      <w:r w:rsidR="00940357">
        <w:rPr>
          <w:color w:val="111111"/>
        </w:rPr>
        <w:t>it’s</w:t>
      </w:r>
      <w:proofErr w:type="gramEnd"/>
      <w:r w:rsidR="00940357">
        <w:rPr>
          <w:color w:val="111111"/>
        </w:rPr>
        <w:t xml:space="preserve"> Threshold value and by using in open CV we can measure the accurate and precise readings</w:t>
      </w:r>
    </w:p>
    <w:p w14:paraId="3D0B64A1" w14:textId="71031EF9" w:rsidR="005D04B3" w:rsidRPr="00940357" w:rsidRDefault="00F80C1F">
      <w:pPr>
        <w:pStyle w:val="ListParagraph"/>
        <w:numPr>
          <w:ilvl w:val="0"/>
          <w:numId w:val="1"/>
        </w:numPr>
        <w:tabs>
          <w:tab w:val="left" w:pos="818"/>
        </w:tabs>
        <w:spacing w:before="179"/>
        <w:ind w:right="328" w:hanging="358"/>
      </w:pPr>
      <w:r>
        <w:rPr>
          <w:color w:val="111111"/>
        </w:rPr>
        <w:t>Th</w:t>
      </w:r>
      <w:r w:rsidR="00940357">
        <w:rPr>
          <w:color w:val="111111"/>
        </w:rPr>
        <w:t>is device can monitor 24/7 without any assistance</w:t>
      </w:r>
    </w:p>
    <w:p w14:paraId="79203D8A" w14:textId="1146D252" w:rsidR="00940357" w:rsidRDefault="00940357" w:rsidP="00940357">
      <w:pPr>
        <w:pStyle w:val="ListParagraph"/>
        <w:numPr>
          <w:ilvl w:val="0"/>
          <w:numId w:val="1"/>
        </w:numPr>
        <w:tabs>
          <w:tab w:val="left" w:pos="818"/>
        </w:tabs>
        <w:spacing w:before="179"/>
        <w:ind w:right="328" w:hanging="358"/>
      </w:pPr>
      <w:r w:rsidRPr="00940357">
        <w:t>Provide comprehensive documentation for users and healthcare professionals. Include training materials, troubleshooting guides, and ensure ongoing technical support for system maintenance and updates</w:t>
      </w:r>
    </w:p>
    <w:p w14:paraId="64E5DB28" w14:textId="1ED29BC2" w:rsidR="005D04B3" w:rsidRDefault="00940357" w:rsidP="00940357">
      <w:pPr>
        <w:pStyle w:val="ListParagraph"/>
        <w:numPr>
          <w:ilvl w:val="0"/>
          <w:numId w:val="1"/>
        </w:numPr>
        <w:tabs>
          <w:tab w:val="left" w:pos="818"/>
        </w:tabs>
        <w:spacing w:before="179"/>
        <w:ind w:right="328" w:hanging="358"/>
      </w:pPr>
      <w:r w:rsidRPr="00940357">
        <w:t>Conduct rigorous testing to ensure the accuracy and reliability of both vital signs monitoring and face recognition functionalities. Implement calibration mechanisms for continuous accuracy</w:t>
      </w:r>
      <w:r w:rsidR="00F80C1F" w:rsidRPr="00940357">
        <w:t>.</w:t>
      </w:r>
    </w:p>
    <w:p w14:paraId="31446CEA" w14:textId="10AE1E9F" w:rsidR="00940357" w:rsidRPr="00940357" w:rsidRDefault="00F80C1F" w:rsidP="00940357">
      <w:pPr>
        <w:pStyle w:val="ListParagraph"/>
        <w:numPr>
          <w:ilvl w:val="0"/>
          <w:numId w:val="1"/>
        </w:numPr>
        <w:tabs>
          <w:tab w:val="left" w:pos="818"/>
        </w:tabs>
        <w:spacing w:before="179"/>
        <w:ind w:right="328" w:hanging="358"/>
      </w:pPr>
      <w:r w:rsidRPr="00940357">
        <w:t>By monitoring the</w:t>
      </w:r>
      <w:r w:rsidR="00940357" w:rsidRPr="00940357">
        <w:t xml:space="preserve"> user can,</w:t>
      </w:r>
      <w:r w:rsidRPr="00940357">
        <w:t xml:space="preserve"> </w:t>
      </w:r>
      <w:proofErr w:type="gramStart"/>
      <w:r w:rsidR="00940357" w:rsidRPr="00940357">
        <w:t>Enable</w:t>
      </w:r>
      <w:proofErr w:type="gramEnd"/>
      <w:r w:rsidR="00940357" w:rsidRPr="00940357">
        <w:t xml:space="preserve"> mobile connectivity, allowing healthcare providers to remotely monitor and control the system. This feature enhances the flexibility of patient care</w:t>
      </w:r>
      <w:r w:rsidRPr="00940357">
        <w:t>.</w:t>
      </w:r>
    </w:p>
    <w:p w14:paraId="310C6175" w14:textId="75C8BE96" w:rsidR="00940357" w:rsidRDefault="00F80C1F" w:rsidP="00940357">
      <w:pPr>
        <w:pStyle w:val="ListParagraph"/>
        <w:numPr>
          <w:ilvl w:val="0"/>
          <w:numId w:val="1"/>
        </w:numPr>
        <w:tabs>
          <w:tab w:val="left" w:pos="818"/>
        </w:tabs>
        <w:spacing w:before="179"/>
        <w:ind w:right="170" w:hanging="358"/>
      </w:pPr>
      <w:r w:rsidRPr="00940357">
        <w:rPr>
          <w:color w:val="111111"/>
        </w:rPr>
        <w:t xml:space="preserve">This innovative solution offers several advantages, including </w:t>
      </w:r>
      <w:r w:rsidR="00940357" w:rsidRPr="00940357">
        <w:t>Create a user-friendly interface on the Raspberry Pi's screen to display real-time vital signs data. Ensure clear visualization for both healthcare providers and patients.</w:t>
      </w:r>
      <w:r w:rsidR="00940357" w:rsidRPr="00940357">
        <w:t xml:space="preserve"> </w:t>
      </w:r>
    </w:p>
    <w:p w14:paraId="0BFD4FF1" w14:textId="77777777" w:rsidR="00940357" w:rsidRPr="00940357" w:rsidRDefault="00940357" w:rsidP="00940357">
      <w:pPr>
        <w:tabs>
          <w:tab w:val="left" w:pos="818"/>
        </w:tabs>
        <w:spacing w:before="179"/>
        <w:ind w:left="459" w:right="170"/>
      </w:pPr>
    </w:p>
    <w:p w14:paraId="67886E66" w14:textId="63664BB7" w:rsidR="005D04B3" w:rsidRPr="00940357" w:rsidRDefault="00F80C1F" w:rsidP="00940357">
      <w:pPr>
        <w:pStyle w:val="BodyText"/>
        <w:spacing w:before="10"/>
        <w:ind w:left="0"/>
        <w:rPr>
          <w:w w:val="95"/>
          <w:sz w:val="48"/>
          <w:szCs w:val="48"/>
        </w:rPr>
      </w:pPr>
      <w:r w:rsidRPr="00940357">
        <w:rPr>
          <w:color w:val="111111"/>
        </w:rPr>
        <w:t>“In c</w:t>
      </w:r>
      <w:r w:rsidRPr="00F80C1F">
        <w:rPr>
          <w:noProof/>
        </w:rPr>
        <w:t xml:space="preserve"> </w:t>
      </w:r>
      <w:proofErr w:type="spellStart"/>
      <w:r w:rsidRPr="00940357">
        <w:rPr>
          <w:color w:val="111111"/>
        </w:rPr>
        <w:t>onclusion</w:t>
      </w:r>
      <w:proofErr w:type="spellEnd"/>
      <w:r w:rsidRPr="00940357">
        <w:rPr>
          <w:color w:val="111111"/>
        </w:rPr>
        <w:t xml:space="preserve">, we believe </w:t>
      </w:r>
      <w:proofErr w:type="spellStart"/>
      <w:proofErr w:type="gramStart"/>
      <w:r w:rsidRPr="00940357">
        <w:rPr>
          <w:color w:val="111111"/>
        </w:rPr>
        <w:t>our</w:t>
      </w:r>
      <w:proofErr w:type="spellEnd"/>
      <w:proofErr w:type="gramEnd"/>
      <w:r w:rsidRPr="00940357">
        <w:rPr>
          <w:color w:val="111111"/>
        </w:rPr>
        <w:t xml:space="preserve">. </w:t>
      </w:r>
      <w:r w:rsidR="00940357" w:rsidRPr="00940357">
        <w:rPr>
          <w:w w:val="95"/>
        </w:rPr>
        <w:t>Developing a system for Patient Care in the Health Sector</w:t>
      </w:r>
      <w:r w:rsidR="00940357">
        <w:rPr>
          <w:w w:val="95"/>
        </w:rPr>
        <w:t xml:space="preserve">, To provide the future Technological Advancement in the Health </w:t>
      </w:r>
      <w:proofErr w:type="gramStart"/>
      <w:r w:rsidR="00940357">
        <w:rPr>
          <w:w w:val="95"/>
        </w:rPr>
        <w:t>Sectors ,</w:t>
      </w:r>
      <w:r w:rsidRPr="00940357">
        <w:rPr>
          <w:color w:val="111111"/>
        </w:rPr>
        <w:t>We</w:t>
      </w:r>
      <w:proofErr w:type="gramEnd"/>
      <w:r w:rsidR="00940357">
        <w:rPr>
          <w:color w:val="111111"/>
        </w:rPr>
        <w:t xml:space="preserve"> </w:t>
      </w:r>
      <w:r w:rsidRPr="00940357">
        <w:rPr>
          <w:color w:val="111111"/>
          <w:spacing w:val="-52"/>
        </w:rPr>
        <w:t xml:space="preserve"> </w:t>
      </w:r>
      <w:r w:rsidRPr="00940357">
        <w:rPr>
          <w:color w:val="111111"/>
        </w:rPr>
        <w:t>look</w:t>
      </w:r>
      <w:r w:rsidRPr="00940357">
        <w:rPr>
          <w:color w:val="111111"/>
          <w:spacing w:val="-4"/>
        </w:rPr>
        <w:t xml:space="preserve"> </w:t>
      </w:r>
      <w:r w:rsidRPr="00940357">
        <w:rPr>
          <w:color w:val="111111"/>
        </w:rPr>
        <w:t>forward</w:t>
      </w:r>
      <w:r w:rsidRPr="00940357">
        <w:rPr>
          <w:color w:val="111111"/>
          <w:spacing w:val="-6"/>
        </w:rPr>
        <w:t xml:space="preserve"> </w:t>
      </w:r>
      <w:r w:rsidRPr="00940357">
        <w:rPr>
          <w:color w:val="111111"/>
        </w:rPr>
        <w:t>to the opportunity</w:t>
      </w:r>
      <w:r w:rsidRPr="00940357">
        <w:rPr>
          <w:color w:val="111111"/>
          <w:spacing w:val="-5"/>
        </w:rPr>
        <w:t xml:space="preserve"> </w:t>
      </w:r>
      <w:r w:rsidRPr="00940357">
        <w:rPr>
          <w:color w:val="111111"/>
        </w:rPr>
        <w:t>to</w:t>
      </w:r>
      <w:r w:rsidRPr="00940357">
        <w:rPr>
          <w:color w:val="111111"/>
          <w:spacing w:val="-4"/>
        </w:rPr>
        <w:t xml:space="preserve"> </w:t>
      </w:r>
      <w:r w:rsidRPr="00940357">
        <w:rPr>
          <w:color w:val="111111"/>
        </w:rPr>
        <w:t>showcase our</w:t>
      </w:r>
      <w:r w:rsidRPr="00940357">
        <w:rPr>
          <w:color w:val="111111"/>
          <w:spacing w:val="1"/>
        </w:rPr>
        <w:t xml:space="preserve"> </w:t>
      </w:r>
      <w:r w:rsidRPr="00940357">
        <w:rPr>
          <w:color w:val="111111"/>
        </w:rPr>
        <w:t>work</w:t>
      </w:r>
      <w:r w:rsidRPr="00940357">
        <w:rPr>
          <w:color w:val="111111"/>
          <w:spacing w:val="-4"/>
        </w:rPr>
        <w:t xml:space="preserve"> </w:t>
      </w:r>
      <w:r w:rsidRPr="00940357">
        <w:rPr>
          <w:color w:val="111111"/>
        </w:rPr>
        <w:t>at the</w:t>
      </w:r>
      <w:r w:rsidRPr="00940357">
        <w:rPr>
          <w:color w:val="111111"/>
          <w:spacing w:val="-1"/>
        </w:rPr>
        <w:t xml:space="preserve"> </w:t>
      </w:r>
      <w:r w:rsidRPr="00940357">
        <w:rPr>
          <w:color w:val="111111"/>
        </w:rPr>
        <w:t>AVISHKAAR</w:t>
      </w:r>
      <w:r w:rsidRPr="00940357">
        <w:rPr>
          <w:color w:val="111111"/>
          <w:spacing w:val="-3"/>
        </w:rPr>
        <w:t xml:space="preserve"> </w:t>
      </w:r>
      <w:r w:rsidRPr="00940357">
        <w:rPr>
          <w:color w:val="111111"/>
        </w:rPr>
        <w:t>2024 Hackathon.</w:t>
      </w:r>
      <w:r w:rsidRPr="00940357">
        <w:rPr>
          <w:color w:val="111111"/>
          <w:spacing w:val="-4"/>
        </w:rPr>
        <w:t xml:space="preserve"> </w:t>
      </w:r>
      <w:r w:rsidRPr="00940357">
        <w:rPr>
          <w:color w:val="111111"/>
        </w:rPr>
        <w:t>We</w:t>
      </w:r>
      <w:r w:rsidRPr="00940357">
        <w:rPr>
          <w:color w:val="111111"/>
          <w:spacing w:val="-52"/>
        </w:rPr>
        <w:t xml:space="preserve"> </w:t>
      </w:r>
      <w:r w:rsidRPr="00940357">
        <w:rPr>
          <w:color w:val="111111"/>
        </w:rPr>
        <w:t>are grateful to the organizers, ADITYA INSTITUTE OF TECHNOLOGY AND</w:t>
      </w:r>
      <w:r w:rsidRPr="00940357">
        <w:rPr>
          <w:color w:val="111111"/>
          <w:spacing w:val="1"/>
        </w:rPr>
        <w:t xml:space="preserve"> </w:t>
      </w:r>
      <w:r w:rsidRPr="00940357">
        <w:rPr>
          <w:color w:val="111111"/>
        </w:rPr>
        <w:t xml:space="preserve">MANAGEMENT and </w:t>
      </w:r>
      <w:proofErr w:type="spellStart"/>
      <w:r w:rsidRPr="00940357">
        <w:rPr>
          <w:color w:val="111111"/>
        </w:rPr>
        <w:t>GeeksforGeeks</w:t>
      </w:r>
      <w:proofErr w:type="spellEnd"/>
      <w:r w:rsidRPr="00940357">
        <w:rPr>
          <w:color w:val="111111"/>
        </w:rPr>
        <w:t>, for providing this platform to innovators like us. Thank</w:t>
      </w:r>
      <w:r w:rsidRPr="00940357">
        <w:rPr>
          <w:color w:val="111111"/>
          <w:spacing w:val="1"/>
        </w:rPr>
        <w:t xml:space="preserve"> </w:t>
      </w:r>
      <w:r w:rsidRPr="00940357">
        <w:rPr>
          <w:color w:val="111111"/>
        </w:rPr>
        <w:t>you</w:t>
      </w:r>
      <w:r w:rsidRPr="00940357">
        <w:rPr>
          <w:color w:val="111111"/>
          <w:spacing w:val="-1"/>
        </w:rPr>
        <w:t xml:space="preserve"> </w:t>
      </w:r>
      <w:r w:rsidRPr="00940357">
        <w:rPr>
          <w:color w:val="111111"/>
        </w:rPr>
        <w:t>for</w:t>
      </w:r>
      <w:r w:rsidRPr="00940357">
        <w:rPr>
          <w:color w:val="111111"/>
          <w:spacing w:val="1"/>
        </w:rPr>
        <w:t xml:space="preserve"> </w:t>
      </w:r>
      <w:r w:rsidRPr="00940357">
        <w:rPr>
          <w:color w:val="111111"/>
        </w:rPr>
        <w:t>considering our</w:t>
      </w:r>
      <w:r w:rsidRPr="00940357">
        <w:rPr>
          <w:color w:val="111111"/>
          <w:spacing w:val="1"/>
        </w:rPr>
        <w:t xml:space="preserve"> </w:t>
      </w:r>
      <w:r w:rsidRPr="00940357">
        <w:rPr>
          <w:color w:val="111111"/>
        </w:rPr>
        <w:t>submission.”</w:t>
      </w:r>
    </w:p>
    <w:p w14:paraId="304311A4" w14:textId="6673A131" w:rsidR="003C7745" w:rsidRDefault="00F80C1F" w:rsidP="003C7745">
      <w:pPr>
        <w:pStyle w:val="Heading1"/>
        <w:spacing w:before="213"/>
        <w:ind w:left="1540" w:firstLine="0"/>
        <w:rPr>
          <w:color w:val="111111"/>
        </w:rPr>
      </w:pPr>
      <w:r w:rsidRPr="00F80C1F">
        <w:rPr>
          <w:color w:val="111111"/>
        </w:rPr>
        <w:drawing>
          <wp:anchor distT="0" distB="0" distL="114300" distR="114300" simplePos="0" relativeHeight="251657216" behindDoc="0" locked="0" layoutInCell="1" allowOverlap="1" wp14:anchorId="4324F733" wp14:editId="2F3B6F66">
            <wp:simplePos x="0" y="0"/>
            <wp:positionH relativeFrom="column">
              <wp:posOffset>3249584</wp:posOffset>
            </wp:positionH>
            <wp:positionV relativeFrom="paragraph">
              <wp:posOffset>138199</wp:posOffset>
            </wp:positionV>
            <wp:extent cx="1124585" cy="1039495"/>
            <wp:effectExtent l="0" t="0" r="0" b="8255"/>
            <wp:wrapSquare wrapText="bothSides"/>
            <wp:docPr id="124885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51237" name=""/>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124585" cy="1039495"/>
                    </a:xfrm>
                    <a:prstGeom prst="rect">
                      <a:avLst/>
                    </a:prstGeom>
                  </pic:spPr>
                </pic:pic>
              </a:graphicData>
            </a:graphic>
          </wp:anchor>
        </w:drawing>
      </w:r>
      <w:r w:rsidR="003B2B6B">
        <w:rPr>
          <w:noProof/>
        </w:rPr>
        <w:drawing>
          <wp:inline distT="0" distB="0" distL="0" distR="0" wp14:anchorId="7B63993F" wp14:editId="2CB0B05A">
            <wp:extent cx="1853116" cy="994631"/>
            <wp:effectExtent l="0" t="0" r="0" b="0"/>
            <wp:docPr id="2001210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1878352" cy="1008176"/>
                    </a:xfrm>
                    <a:prstGeom prst="rect">
                      <a:avLst/>
                    </a:prstGeom>
                    <a:noFill/>
                  </pic:spPr>
                </pic:pic>
              </a:graphicData>
            </a:graphic>
          </wp:inline>
        </w:drawing>
      </w:r>
      <w:r w:rsidR="003C7745">
        <w:rPr>
          <w:noProof/>
          <w:color w:val="111111"/>
        </w:rPr>
        <w:drawing>
          <wp:inline distT="0" distB="0" distL="0" distR="0" wp14:anchorId="1FAEC503" wp14:editId="346435DF">
            <wp:extent cx="1489075" cy="969483"/>
            <wp:effectExtent l="0" t="0" r="0" b="2540"/>
            <wp:docPr id="306244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264" cy="992393"/>
                    </a:xfrm>
                    <a:prstGeom prst="rect">
                      <a:avLst/>
                    </a:prstGeom>
                    <a:noFill/>
                  </pic:spPr>
                </pic:pic>
              </a:graphicData>
            </a:graphic>
          </wp:inline>
        </w:drawing>
      </w:r>
    </w:p>
    <w:p w14:paraId="78003E21" w14:textId="03C75417" w:rsidR="005D04B3" w:rsidRPr="003C7745" w:rsidRDefault="00F80C1F" w:rsidP="003C7745">
      <w:pPr>
        <w:pStyle w:val="Heading1"/>
        <w:spacing w:before="213"/>
        <w:ind w:left="1540" w:firstLine="0"/>
        <w:rPr>
          <w:color w:val="111111"/>
        </w:rPr>
      </w:pPr>
      <w:r>
        <w:rPr>
          <w:color w:val="111111"/>
        </w:rPr>
        <w:t>Re</w:t>
      </w:r>
      <w:r>
        <w:rPr>
          <w:color w:val="111111"/>
        </w:rPr>
        <w:t>ference</w:t>
      </w:r>
      <w:r>
        <w:rPr>
          <w:b w:val="0"/>
          <w:color w:val="111111"/>
          <w:sz w:val="22"/>
        </w:rPr>
        <w:t>:</w:t>
      </w:r>
    </w:p>
    <w:p w14:paraId="3C5C7A97" w14:textId="1ED23D02" w:rsidR="005D04B3" w:rsidRDefault="00F80C1F">
      <w:pPr>
        <w:pStyle w:val="BodyText"/>
        <w:spacing w:before="1" w:line="252" w:lineRule="exact"/>
        <w:ind w:left="1540"/>
      </w:pPr>
      <w:r>
        <w:rPr>
          <w:color w:val="111111"/>
          <w:spacing w:val="-3"/>
        </w:rPr>
        <w:t>[1]-</w:t>
      </w:r>
      <w:r>
        <w:rPr>
          <w:color w:val="111111"/>
          <w:spacing w:val="15"/>
        </w:rPr>
        <w:t xml:space="preserve"> </w:t>
      </w:r>
      <w:r w:rsidRPr="00F80C1F">
        <w:rPr>
          <w:color w:val="111111"/>
          <w:spacing w:val="15"/>
        </w:rPr>
        <w:t>https://www.sciencedirect.com/science/article/pii/</w:t>
      </w:r>
    </w:p>
    <w:p w14:paraId="42D7BD69" w14:textId="5C2F15B9" w:rsidR="005D04B3" w:rsidRDefault="00F80C1F">
      <w:pPr>
        <w:pStyle w:val="BodyText"/>
        <w:spacing w:line="252" w:lineRule="exact"/>
        <w:ind w:left="1540"/>
      </w:pPr>
      <w:r>
        <w:rPr>
          <w:color w:val="111111"/>
          <w:spacing w:val="-2"/>
        </w:rPr>
        <w:t>[2]-</w:t>
      </w:r>
      <w:r>
        <w:rPr>
          <w:color w:val="111111"/>
          <w:spacing w:val="-9"/>
        </w:rPr>
        <w:t xml:space="preserve"> </w:t>
      </w:r>
      <w:r w:rsidRPr="00F80C1F">
        <w:rPr>
          <w:color w:val="0000FF"/>
          <w:spacing w:val="-2"/>
          <w:u w:val="single" w:color="0000FF"/>
        </w:rPr>
        <w:t>https://www.ncbi.nlm.nih.gov/pmc/articles/PMC9601552/</w:t>
      </w:r>
    </w:p>
    <w:p w14:paraId="75A48CAE" w14:textId="77777777" w:rsidR="00F80C1F" w:rsidRDefault="00F80C1F" w:rsidP="00F80C1F">
      <w:pPr>
        <w:pStyle w:val="BodyText"/>
        <w:spacing w:before="1"/>
        <w:ind w:left="1540"/>
        <w:rPr>
          <w:color w:val="0000FF"/>
          <w:spacing w:val="-2"/>
          <w:u w:val="single" w:color="0000FF"/>
        </w:rPr>
      </w:pPr>
      <w:r>
        <w:rPr>
          <w:color w:val="111111"/>
          <w:spacing w:val="-2"/>
        </w:rPr>
        <w:t>[3]-</w:t>
      </w:r>
      <w:r>
        <w:rPr>
          <w:color w:val="111111"/>
          <w:spacing w:val="-9"/>
        </w:rPr>
        <w:t xml:space="preserve"> </w:t>
      </w:r>
      <w:r w:rsidRPr="00F80C1F">
        <w:rPr>
          <w:color w:val="0000FF"/>
          <w:spacing w:val="-2"/>
          <w:u w:val="single" w:color="0000FF"/>
        </w:rPr>
        <w:t>https://pubmed.ncbi.nlm.nih.gov/26378329/</w:t>
      </w:r>
      <w:r w:rsidRPr="00F80C1F">
        <w:rPr>
          <w:color w:val="0000FF"/>
          <w:spacing w:val="-2"/>
          <w:u w:val="single" w:color="0000FF"/>
        </w:rPr>
        <w:t xml:space="preserve"> </w:t>
      </w:r>
    </w:p>
    <w:p w14:paraId="76154CEF" w14:textId="12C51ECE" w:rsidR="005D04B3" w:rsidRDefault="005D04B3" w:rsidP="00F80C1F">
      <w:pPr>
        <w:pStyle w:val="BodyText"/>
        <w:spacing w:before="1"/>
        <w:ind w:left="1540"/>
      </w:pPr>
    </w:p>
    <w:sectPr w:rsidR="005D04B3">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18FB"/>
    <w:multiLevelType w:val="hybridMultilevel"/>
    <w:tmpl w:val="05AE5DA8"/>
    <w:lvl w:ilvl="0" w:tplc="86D2B22A">
      <w:numFmt w:val="bullet"/>
      <w:lvlText w:val=""/>
      <w:lvlJc w:val="left"/>
      <w:pPr>
        <w:ind w:left="820" w:hanging="360"/>
      </w:pPr>
      <w:rPr>
        <w:rFonts w:ascii="Wingdings" w:eastAsia="Wingdings" w:hAnsi="Wingdings" w:cs="Wingdings" w:hint="default"/>
        <w:w w:val="100"/>
        <w:sz w:val="28"/>
        <w:szCs w:val="28"/>
        <w:lang w:val="en-US" w:eastAsia="en-US" w:bidi="ar-SA"/>
      </w:rPr>
    </w:lvl>
    <w:lvl w:ilvl="1" w:tplc="8514CACA">
      <w:numFmt w:val="bullet"/>
      <w:lvlText w:val="•"/>
      <w:lvlJc w:val="left"/>
      <w:pPr>
        <w:ind w:left="984" w:hanging="360"/>
      </w:pPr>
      <w:rPr>
        <w:rFonts w:hint="default"/>
        <w:lang w:val="en-US" w:eastAsia="en-US" w:bidi="ar-SA"/>
      </w:rPr>
    </w:lvl>
    <w:lvl w:ilvl="2" w:tplc="46768B4C">
      <w:numFmt w:val="bullet"/>
      <w:lvlText w:val="•"/>
      <w:lvlJc w:val="left"/>
      <w:pPr>
        <w:ind w:left="1148" w:hanging="360"/>
      </w:pPr>
      <w:rPr>
        <w:rFonts w:hint="default"/>
        <w:lang w:val="en-US" w:eastAsia="en-US" w:bidi="ar-SA"/>
      </w:rPr>
    </w:lvl>
    <w:lvl w:ilvl="3" w:tplc="8D70892A">
      <w:numFmt w:val="bullet"/>
      <w:lvlText w:val="•"/>
      <w:lvlJc w:val="left"/>
      <w:pPr>
        <w:ind w:left="1312" w:hanging="360"/>
      </w:pPr>
      <w:rPr>
        <w:rFonts w:hint="default"/>
        <w:lang w:val="en-US" w:eastAsia="en-US" w:bidi="ar-SA"/>
      </w:rPr>
    </w:lvl>
    <w:lvl w:ilvl="4" w:tplc="84961758">
      <w:numFmt w:val="bullet"/>
      <w:lvlText w:val="•"/>
      <w:lvlJc w:val="left"/>
      <w:pPr>
        <w:ind w:left="1477" w:hanging="360"/>
      </w:pPr>
      <w:rPr>
        <w:rFonts w:hint="default"/>
        <w:lang w:val="en-US" w:eastAsia="en-US" w:bidi="ar-SA"/>
      </w:rPr>
    </w:lvl>
    <w:lvl w:ilvl="5" w:tplc="DC346672">
      <w:numFmt w:val="bullet"/>
      <w:lvlText w:val="•"/>
      <w:lvlJc w:val="left"/>
      <w:pPr>
        <w:ind w:left="1641" w:hanging="360"/>
      </w:pPr>
      <w:rPr>
        <w:rFonts w:hint="default"/>
        <w:lang w:val="en-US" w:eastAsia="en-US" w:bidi="ar-SA"/>
      </w:rPr>
    </w:lvl>
    <w:lvl w:ilvl="6" w:tplc="AFBC49D0">
      <w:numFmt w:val="bullet"/>
      <w:lvlText w:val="•"/>
      <w:lvlJc w:val="left"/>
      <w:pPr>
        <w:ind w:left="1805" w:hanging="360"/>
      </w:pPr>
      <w:rPr>
        <w:rFonts w:hint="default"/>
        <w:lang w:val="en-US" w:eastAsia="en-US" w:bidi="ar-SA"/>
      </w:rPr>
    </w:lvl>
    <w:lvl w:ilvl="7" w:tplc="2A240A7C">
      <w:numFmt w:val="bullet"/>
      <w:lvlText w:val="•"/>
      <w:lvlJc w:val="left"/>
      <w:pPr>
        <w:ind w:left="1970" w:hanging="360"/>
      </w:pPr>
      <w:rPr>
        <w:rFonts w:hint="default"/>
        <w:lang w:val="en-US" w:eastAsia="en-US" w:bidi="ar-SA"/>
      </w:rPr>
    </w:lvl>
    <w:lvl w:ilvl="8" w:tplc="7A5A4960">
      <w:numFmt w:val="bullet"/>
      <w:lvlText w:val="•"/>
      <w:lvlJc w:val="left"/>
      <w:pPr>
        <w:ind w:left="2134" w:hanging="360"/>
      </w:pPr>
      <w:rPr>
        <w:rFonts w:hint="default"/>
        <w:lang w:val="en-US" w:eastAsia="en-US" w:bidi="ar-SA"/>
      </w:rPr>
    </w:lvl>
  </w:abstractNum>
  <w:abstractNum w:abstractNumId="1" w15:restartNumberingAfterBreak="0">
    <w:nsid w:val="5FAD33F1"/>
    <w:multiLevelType w:val="hybridMultilevel"/>
    <w:tmpl w:val="DE62FD84"/>
    <w:lvl w:ilvl="0" w:tplc="6D6C6AF6">
      <w:numFmt w:val="bullet"/>
      <w:lvlText w:val=""/>
      <w:lvlJc w:val="left"/>
      <w:pPr>
        <w:ind w:left="817" w:hanging="413"/>
      </w:pPr>
      <w:rPr>
        <w:rFonts w:ascii="Wingdings" w:eastAsia="Wingdings" w:hAnsi="Wingdings" w:cs="Wingdings" w:hint="default"/>
        <w:color w:val="111111"/>
        <w:w w:val="100"/>
        <w:sz w:val="22"/>
        <w:szCs w:val="22"/>
        <w:lang w:val="en-US" w:eastAsia="en-US" w:bidi="ar-SA"/>
      </w:rPr>
    </w:lvl>
    <w:lvl w:ilvl="1" w:tplc="D10098D6">
      <w:numFmt w:val="bullet"/>
      <w:lvlText w:val="•"/>
      <w:lvlJc w:val="left"/>
      <w:pPr>
        <w:ind w:left="1696" w:hanging="413"/>
      </w:pPr>
      <w:rPr>
        <w:rFonts w:hint="default"/>
        <w:lang w:val="en-US" w:eastAsia="en-US" w:bidi="ar-SA"/>
      </w:rPr>
    </w:lvl>
    <w:lvl w:ilvl="2" w:tplc="CCF0B316">
      <w:numFmt w:val="bullet"/>
      <w:lvlText w:val="•"/>
      <w:lvlJc w:val="left"/>
      <w:pPr>
        <w:ind w:left="2572" w:hanging="413"/>
      </w:pPr>
      <w:rPr>
        <w:rFonts w:hint="default"/>
        <w:lang w:val="en-US" w:eastAsia="en-US" w:bidi="ar-SA"/>
      </w:rPr>
    </w:lvl>
    <w:lvl w:ilvl="3" w:tplc="D4BCD822">
      <w:numFmt w:val="bullet"/>
      <w:lvlText w:val="•"/>
      <w:lvlJc w:val="left"/>
      <w:pPr>
        <w:ind w:left="3448" w:hanging="413"/>
      </w:pPr>
      <w:rPr>
        <w:rFonts w:hint="default"/>
        <w:lang w:val="en-US" w:eastAsia="en-US" w:bidi="ar-SA"/>
      </w:rPr>
    </w:lvl>
    <w:lvl w:ilvl="4" w:tplc="40A2E906">
      <w:numFmt w:val="bullet"/>
      <w:lvlText w:val="•"/>
      <w:lvlJc w:val="left"/>
      <w:pPr>
        <w:ind w:left="4324" w:hanging="413"/>
      </w:pPr>
      <w:rPr>
        <w:rFonts w:hint="default"/>
        <w:lang w:val="en-US" w:eastAsia="en-US" w:bidi="ar-SA"/>
      </w:rPr>
    </w:lvl>
    <w:lvl w:ilvl="5" w:tplc="19F07E0A">
      <w:numFmt w:val="bullet"/>
      <w:lvlText w:val="•"/>
      <w:lvlJc w:val="left"/>
      <w:pPr>
        <w:ind w:left="5200" w:hanging="413"/>
      </w:pPr>
      <w:rPr>
        <w:rFonts w:hint="default"/>
        <w:lang w:val="en-US" w:eastAsia="en-US" w:bidi="ar-SA"/>
      </w:rPr>
    </w:lvl>
    <w:lvl w:ilvl="6" w:tplc="B9100FE6">
      <w:numFmt w:val="bullet"/>
      <w:lvlText w:val="•"/>
      <w:lvlJc w:val="left"/>
      <w:pPr>
        <w:ind w:left="6076" w:hanging="413"/>
      </w:pPr>
      <w:rPr>
        <w:rFonts w:hint="default"/>
        <w:lang w:val="en-US" w:eastAsia="en-US" w:bidi="ar-SA"/>
      </w:rPr>
    </w:lvl>
    <w:lvl w:ilvl="7" w:tplc="5AC833B0">
      <w:numFmt w:val="bullet"/>
      <w:lvlText w:val="•"/>
      <w:lvlJc w:val="left"/>
      <w:pPr>
        <w:ind w:left="6952" w:hanging="413"/>
      </w:pPr>
      <w:rPr>
        <w:rFonts w:hint="default"/>
        <w:lang w:val="en-US" w:eastAsia="en-US" w:bidi="ar-SA"/>
      </w:rPr>
    </w:lvl>
    <w:lvl w:ilvl="8" w:tplc="540EF48C">
      <w:numFmt w:val="bullet"/>
      <w:lvlText w:val="•"/>
      <w:lvlJc w:val="left"/>
      <w:pPr>
        <w:ind w:left="7828" w:hanging="413"/>
      </w:pPr>
      <w:rPr>
        <w:rFonts w:hint="default"/>
        <w:lang w:val="en-US" w:eastAsia="en-US" w:bidi="ar-SA"/>
      </w:rPr>
    </w:lvl>
  </w:abstractNum>
  <w:abstractNum w:abstractNumId="2" w15:restartNumberingAfterBreak="0">
    <w:nsid w:val="77693BEA"/>
    <w:multiLevelType w:val="hybridMultilevel"/>
    <w:tmpl w:val="5EBCC742"/>
    <w:lvl w:ilvl="0" w:tplc="B1B881C2">
      <w:numFmt w:val="bullet"/>
      <w:lvlText w:val=""/>
      <w:lvlJc w:val="left"/>
      <w:pPr>
        <w:ind w:left="817" w:hanging="358"/>
      </w:pPr>
      <w:rPr>
        <w:rFonts w:hint="default"/>
        <w:w w:val="100"/>
        <w:lang w:val="en-US" w:eastAsia="en-US" w:bidi="ar-SA"/>
      </w:rPr>
    </w:lvl>
    <w:lvl w:ilvl="1" w:tplc="7F9891AA">
      <w:numFmt w:val="bullet"/>
      <w:lvlText w:val="•"/>
      <w:lvlJc w:val="left"/>
      <w:pPr>
        <w:ind w:left="1696" w:hanging="358"/>
      </w:pPr>
      <w:rPr>
        <w:rFonts w:hint="default"/>
        <w:lang w:val="en-US" w:eastAsia="en-US" w:bidi="ar-SA"/>
      </w:rPr>
    </w:lvl>
    <w:lvl w:ilvl="2" w:tplc="A186FDB8">
      <w:numFmt w:val="bullet"/>
      <w:lvlText w:val="•"/>
      <w:lvlJc w:val="left"/>
      <w:pPr>
        <w:ind w:left="2572" w:hanging="358"/>
      </w:pPr>
      <w:rPr>
        <w:rFonts w:hint="default"/>
        <w:lang w:val="en-US" w:eastAsia="en-US" w:bidi="ar-SA"/>
      </w:rPr>
    </w:lvl>
    <w:lvl w:ilvl="3" w:tplc="0860A902">
      <w:numFmt w:val="bullet"/>
      <w:lvlText w:val="•"/>
      <w:lvlJc w:val="left"/>
      <w:pPr>
        <w:ind w:left="3448" w:hanging="358"/>
      </w:pPr>
      <w:rPr>
        <w:rFonts w:hint="default"/>
        <w:lang w:val="en-US" w:eastAsia="en-US" w:bidi="ar-SA"/>
      </w:rPr>
    </w:lvl>
    <w:lvl w:ilvl="4" w:tplc="49BE8D20">
      <w:numFmt w:val="bullet"/>
      <w:lvlText w:val="•"/>
      <w:lvlJc w:val="left"/>
      <w:pPr>
        <w:ind w:left="4324" w:hanging="358"/>
      </w:pPr>
      <w:rPr>
        <w:rFonts w:hint="default"/>
        <w:lang w:val="en-US" w:eastAsia="en-US" w:bidi="ar-SA"/>
      </w:rPr>
    </w:lvl>
    <w:lvl w:ilvl="5" w:tplc="8E12B448">
      <w:numFmt w:val="bullet"/>
      <w:lvlText w:val="•"/>
      <w:lvlJc w:val="left"/>
      <w:pPr>
        <w:ind w:left="5200" w:hanging="358"/>
      </w:pPr>
      <w:rPr>
        <w:rFonts w:hint="default"/>
        <w:lang w:val="en-US" w:eastAsia="en-US" w:bidi="ar-SA"/>
      </w:rPr>
    </w:lvl>
    <w:lvl w:ilvl="6" w:tplc="E0000126">
      <w:numFmt w:val="bullet"/>
      <w:lvlText w:val="•"/>
      <w:lvlJc w:val="left"/>
      <w:pPr>
        <w:ind w:left="6076" w:hanging="358"/>
      </w:pPr>
      <w:rPr>
        <w:rFonts w:hint="default"/>
        <w:lang w:val="en-US" w:eastAsia="en-US" w:bidi="ar-SA"/>
      </w:rPr>
    </w:lvl>
    <w:lvl w:ilvl="7" w:tplc="47F87490">
      <w:numFmt w:val="bullet"/>
      <w:lvlText w:val="•"/>
      <w:lvlJc w:val="left"/>
      <w:pPr>
        <w:ind w:left="6952" w:hanging="358"/>
      </w:pPr>
      <w:rPr>
        <w:rFonts w:hint="default"/>
        <w:lang w:val="en-US" w:eastAsia="en-US" w:bidi="ar-SA"/>
      </w:rPr>
    </w:lvl>
    <w:lvl w:ilvl="8" w:tplc="3154BC8E">
      <w:numFmt w:val="bullet"/>
      <w:lvlText w:val="•"/>
      <w:lvlJc w:val="left"/>
      <w:pPr>
        <w:ind w:left="7828" w:hanging="358"/>
      </w:pPr>
      <w:rPr>
        <w:rFonts w:hint="default"/>
        <w:lang w:val="en-US" w:eastAsia="en-US" w:bidi="ar-SA"/>
      </w:rPr>
    </w:lvl>
  </w:abstractNum>
  <w:num w:numId="1" w16cid:durableId="743260294">
    <w:abstractNumId w:val="1"/>
  </w:num>
  <w:num w:numId="2" w16cid:durableId="1854878814">
    <w:abstractNumId w:val="2"/>
  </w:num>
  <w:num w:numId="3" w16cid:durableId="89000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B3"/>
    <w:rsid w:val="003B2B6B"/>
    <w:rsid w:val="003C7745"/>
    <w:rsid w:val="005D04B3"/>
    <w:rsid w:val="00940357"/>
    <w:rsid w:val="00B9786D"/>
    <w:rsid w:val="00F77C34"/>
    <w:rsid w:val="00F80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527861F"/>
  <w15:docId w15:val="{32B2109B-4761-4A87-93C2-7102A131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17" w:hanging="35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20"/>
    </w:pPr>
  </w:style>
  <w:style w:type="paragraph" w:styleId="Title">
    <w:name w:val="Title"/>
    <w:basedOn w:val="Normal"/>
    <w:uiPriority w:val="10"/>
    <w:qFormat/>
    <w:pPr>
      <w:spacing w:before="60"/>
      <w:ind w:left="152" w:right="652"/>
      <w:jc w:val="center"/>
    </w:pPr>
    <w:rPr>
      <w:sz w:val="48"/>
      <w:szCs w:val="48"/>
    </w:rPr>
  </w:style>
  <w:style w:type="paragraph" w:styleId="ListParagraph">
    <w:name w:val="List Paragraph"/>
    <w:basedOn w:val="Normal"/>
    <w:uiPriority w:val="1"/>
    <w:qFormat/>
    <w:pPr>
      <w:spacing w:before="181"/>
      <w:ind w:left="817" w:hanging="358"/>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77C34"/>
    <w:rPr>
      <w:rFonts w:ascii="Times New Roman" w:eastAsia="Times New Roman" w:hAnsi="Times New Roman" w:cs="Times New Roman"/>
    </w:rPr>
  </w:style>
  <w:style w:type="character" w:styleId="Strong">
    <w:name w:val="Strong"/>
    <w:basedOn w:val="DefaultParagraphFont"/>
    <w:uiPriority w:val="22"/>
    <w:qFormat/>
    <w:rsid w:val="00B97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AVISKAAR_2024HACK.docx</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AVISKAAR_2024HACK.docx</dc:title>
  <dc:creator>Bandaru Kurma</dc:creator>
  <cp:lastModifiedBy>Manoj gundepalli</cp:lastModifiedBy>
  <cp:revision>2</cp:revision>
  <dcterms:created xsi:type="dcterms:W3CDTF">2024-01-31T17:26:00Z</dcterms:created>
  <dcterms:modified xsi:type="dcterms:W3CDTF">2024-01-31T17:26:00Z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LastSaved">
    <vt:filetime>2024-01-30T00:00:00Z</vt:filetime>
  </property>
</Properties>
</file>