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9E7E52" w14:textId="77777777" w:rsidR="00DA6268" w:rsidRDefault="00EC0831">
      <w:pPr>
        <w:pStyle w:val="Title"/>
      </w:pPr>
      <w:r>
        <w:rPr>
          <w:rFonts w:ascii="Arial" w:eastAsia="Arial" w:hAnsi="Arial" w:cs="Arial"/>
        </w:rPr>
        <w:t>Gonzague PATINIER</w:t>
      </w:r>
    </w:p>
    <w:p w14:paraId="2C60CD4F" w14:textId="77777777" w:rsidR="00DA6268" w:rsidRDefault="00DA6268">
      <w:pPr>
        <w:pStyle w:val="Title"/>
        <w:jc w:val="left"/>
      </w:pPr>
    </w:p>
    <w:p w14:paraId="5A8E7E9D" w14:textId="66A584FC" w:rsidR="00DA6268" w:rsidRDefault="00447D64" w:rsidP="00802537">
      <w:pPr>
        <w:pStyle w:val="Title"/>
        <w:tabs>
          <w:tab w:val="clear" w:pos="9360"/>
          <w:tab w:val="right" w:pos="10080"/>
        </w:tabs>
        <w:jc w:val="left"/>
      </w:pPr>
      <w:r>
        <w:rPr>
          <w:rFonts w:ascii="Arial" w:eastAsia="Arial" w:hAnsi="Arial" w:cs="Arial"/>
          <w:b w:val="0"/>
          <w:sz w:val="22"/>
          <w:szCs w:val="22"/>
        </w:rPr>
        <w:t>1987 Moo 10, Soi Baering 36</w:t>
      </w:r>
      <w:r>
        <w:rPr>
          <w:rFonts w:ascii="Arial" w:eastAsia="Arial" w:hAnsi="Arial" w:cs="Arial"/>
          <w:b w:val="0"/>
          <w:sz w:val="22"/>
          <w:szCs w:val="22"/>
        </w:rPr>
        <w:tab/>
        <w:t xml:space="preserve">Email: </w:t>
      </w:r>
      <w:hyperlink r:id="rId7" w:history="1">
        <w:r w:rsidRPr="00960281">
          <w:rPr>
            <w:rStyle w:val="Hyperlink"/>
            <w:rFonts w:ascii="Arial" w:eastAsia="Arial" w:hAnsi="Arial" w:cs="Arial"/>
            <w:b w:val="0"/>
            <w:sz w:val="22"/>
            <w:szCs w:val="22"/>
          </w:rPr>
          <w:t>gonzague.patinier@gmail.com</w:t>
        </w:r>
      </w:hyperlink>
      <w:r>
        <w:rPr>
          <w:rFonts w:ascii="Arial" w:eastAsia="Arial" w:hAnsi="Arial" w:cs="Arial"/>
          <w:b w:val="0"/>
          <w:sz w:val="22"/>
          <w:szCs w:val="22"/>
        </w:rPr>
        <w:br/>
      </w:r>
      <w:r w:rsidR="00EC0831">
        <w:rPr>
          <w:rFonts w:ascii="Arial" w:eastAsia="Arial" w:hAnsi="Arial" w:cs="Arial"/>
          <w:b w:val="0"/>
          <w:sz w:val="22"/>
          <w:szCs w:val="22"/>
        </w:rPr>
        <w:t>Sukhu</w:t>
      </w:r>
      <w:r w:rsidR="00AB3D3F">
        <w:rPr>
          <w:rFonts w:ascii="Arial" w:eastAsia="Arial" w:hAnsi="Arial" w:cs="Arial"/>
          <w:b w:val="0"/>
          <w:sz w:val="22"/>
          <w:szCs w:val="22"/>
        </w:rPr>
        <w:t xml:space="preserve">mvit 107, </w:t>
      </w:r>
      <w:r>
        <w:rPr>
          <w:rFonts w:ascii="Arial" w:eastAsia="Arial" w:hAnsi="Arial" w:cs="Arial"/>
          <w:b w:val="0"/>
          <w:sz w:val="22"/>
          <w:szCs w:val="22"/>
        </w:rPr>
        <w:tab/>
        <w:t>Mob: (+66) 0 86 008 5788</w:t>
      </w:r>
      <w:r>
        <w:rPr>
          <w:rFonts w:ascii="Arial" w:eastAsia="Arial" w:hAnsi="Arial" w:cs="Arial"/>
          <w:b w:val="0"/>
          <w:sz w:val="22"/>
          <w:szCs w:val="22"/>
        </w:rPr>
        <w:br/>
      </w:r>
      <w:r w:rsidR="00AB3D3F">
        <w:rPr>
          <w:rFonts w:ascii="Arial" w:eastAsia="Arial" w:hAnsi="Arial" w:cs="Arial"/>
          <w:b w:val="0"/>
          <w:sz w:val="22"/>
          <w:szCs w:val="22"/>
        </w:rPr>
        <w:t>10270 Samut Prakarn</w:t>
      </w:r>
      <w:r w:rsidR="00802537">
        <w:rPr>
          <w:rFonts w:ascii="Arial" w:eastAsia="Arial" w:hAnsi="Arial" w:cs="Arial"/>
          <w:b w:val="0"/>
          <w:sz w:val="22"/>
          <w:szCs w:val="22"/>
        </w:rPr>
        <w:tab/>
        <w:t xml:space="preserve">LinkedIn: </w:t>
      </w:r>
      <w:hyperlink r:id="rId8" w:history="1">
        <w:r w:rsidR="00802537" w:rsidRPr="00960281">
          <w:rPr>
            <w:rStyle w:val="Hyperlink"/>
            <w:rFonts w:ascii="Arial" w:eastAsia="Arial" w:hAnsi="Arial" w:cs="Arial"/>
            <w:b w:val="0"/>
            <w:sz w:val="22"/>
            <w:szCs w:val="22"/>
          </w:rPr>
          <w:t>https://th.linkedin.com/in/gonzaguepatinier</w:t>
        </w:r>
      </w:hyperlink>
      <w:r w:rsidR="00802537">
        <w:rPr>
          <w:rFonts w:ascii="Arial" w:eastAsia="Arial" w:hAnsi="Arial" w:cs="Arial"/>
          <w:b w:val="0"/>
          <w:sz w:val="22"/>
          <w:szCs w:val="22"/>
        </w:rPr>
        <w:br/>
      </w: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279C271A" w14:textId="77777777" w:rsidR="00DA6268" w:rsidRDefault="00EC0831">
      <w:pPr>
        <w:pStyle w:val="Title"/>
        <w:jc w:val="left"/>
      </w:pP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2C94D0A9" w14:textId="77777777" w:rsidR="00DA6268" w:rsidRDefault="00EC0831">
      <w:pPr>
        <w:pStyle w:val="Heading1"/>
        <w:tabs>
          <w:tab w:val="right" w:pos="9360"/>
        </w:tabs>
      </w:pPr>
      <w:r>
        <w:rPr>
          <w:rFonts w:ascii="Arial" w:eastAsia="Arial" w:hAnsi="Arial" w:cs="Arial"/>
          <w:sz w:val="22"/>
          <w:szCs w:val="22"/>
        </w:rPr>
        <w:t>SUMMARY</w:t>
      </w:r>
    </w:p>
    <w:p w14:paraId="6415B06B" w14:textId="77777777" w:rsidR="00DA6268" w:rsidRDefault="00DA6268">
      <w:pPr>
        <w:tabs>
          <w:tab w:val="left" w:pos="432"/>
          <w:tab w:val="right" w:pos="9360"/>
        </w:tabs>
      </w:pPr>
    </w:p>
    <w:p w14:paraId="2F1DEE96" w14:textId="2DB4DADE" w:rsidR="00DA6268" w:rsidRDefault="00EC0831">
      <w:r>
        <w:rPr>
          <w:rFonts w:ascii="Arial" w:eastAsia="Arial" w:hAnsi="Arial" w:cs="Arial"/>
          <w:sz w:val="22"/>
          <w:szCs w:val="22"/>
        </w:rPr>
        <w:t xml:space="preserve">Gonzague is an accomplished IT project and service delivery manager with </w:t>
      </w:r>
      <w:r w:rsidR="00274C65">
        <w:rPr>
          <w:rFonts w:ascii="Arial" w:eastAsia="Arial" w:hAnsi="Arial" w:cs="Arial"/>
          <w:sz w:val="22"/>
          <w:szCs w:val="22"/>
        </w:rPr>
        <w:t>extensive</w:t>
      </w:r>
      <w:r>
        <w:rPr>
          <w:rFonts w:ascii="Arial" w:eastAsia="Arial" w:hAnsi="Arial" w:cs="Arial"/>
          <w:sz w:val="22"/>
          <w:szCs w:val="22"/>
        </w:rPr>
        <w:t xml:space="preserve"> experience in the delivery of software solutions in the South East Asia region with practice spanning the sales and delivery process of IT best practices, management and application solution.</w:t>
      </w:r>
    </w:p>
    <w:p w14:paraId="2A56B1AE" w14:textId="77777777" w:rsidR="00DA6268" w:rsidRDefault="00DA6268"/>
    <w:p w14:paraId="5AEB3B19" w14:textId="77777777" w:rsidR="00DA6268" w:rsidRDefault="00EC0831">
      <w:pPr>
        <w:numPr>
          <w:ilvl w:val="0"/>
          <w:numId w:val="7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 organizational and planning skills able to operate in fast paced environments with an ability to deliver within the given timeframes while identifying and managing the associated risks.</w:t>
      </w:r>
    </w:p>
    <w:p w14:paraId="0D471496" w14:textId="77777777" w:rsidR="00DA6268" w:rsidRDefault="00EC0831">
      <w:pPr>
        <w:numPr>
          <w:ilvl w:val="0"/>
          <w:numId w:val="7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Well-developed problem solving and communication skills, able to build relationships with key internal and external stakeholders</w:t>
      </w:r>
    </w:p>
    <w:p w14:paraId="7AED848C" w14:textId="77777777" w:rsidR="00DA6268" w:rsidRDefault="00EC0831">
      <w:pPr>
        <w:numPr>
          <w:ilvl w:val="0"/>
          <w:numId w:val="7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Proven management and team building skills, experienced in building and leading high-performing multi-disciplinary teams, as well as strong coaching and mentoring skills with multi-disciplinary and ‘virtual’ teams located across Asia.</w:t>
      </w:r>
    </w:p>
    <w:p w14:paraId="0502E8B2" w14:textId="77777777" w:rsidR="00DA6268" w:rsidRDefault="00EC0831">
      <w:pPr>
        <w:numPr>
          <w:ilvl w:val="0"/>
          <w:numId w:val="7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Extensive experience delivering software solutions</w:t>
      </w:r>
    </w:p>
    <w:p w14:paraId="5BA5B5A0" w14:textId="77777777" w:rsidR="00DA6268" w:rsidRDefault="00DA6268"/>
    <w:p w14:paraId="7F35A778" w14:textId="77777777" w:rsidR="00DA6268" w:rsidRDefault="00EC0831">
      <w:pPr>
        <w:tabs>
          <w:tab w:val="left" w:pos="432"/>
          <w:tab w:val="right" w:pos="9360"/>
        </w:tabs>
        <w:jc w:val="center"/>
      </w:pPr>
      <w:r>
        <w:rPr>
          <w:rFonts w:ascii="Arial" w:eastAsia="Arial" w:hAnsi="Arial" w:cs="Arial"/>
          <w:b/>
          <w:sz w:val="22"/>
          <w:szCs w:val="22"/>
        </w:rPr>
        <w:t>PROFESSIONAL EXPERIENCE</w:t>
      </w:r>
    </w:p>
    <w:p w14:paraId="48669975" w14:textId="77777777" w:rsidR="00DA6268" w:rsidRDefault="00DA6268">
      <w:pPr>
        <w:tabs>
          <w:tab w:val="left" w:pos="432"/>
          <w:tab w:val="right" w:pos="9360"/>
        </w:tabs>
        <w:jc w:val="center"/>
      </w:pPr>
    </w:p>
    <w:p w14:paraId="231A08E1" w14:textId="77777777" w:rsidR="00DA6268" w:rsidRDefault="00DA6268">
      <w:pPr>
        <w:tabs>
          <w:tab w:val="left" w:pos="432"/>
          <w:tab w:val="right" w:pos="9360"/>
        </w:tabs>
      </w:pPr>
    </w:p>
    <w:tbl>
      <w:tblPr>
        <w:tblStyle w:val="a"/>
        <w:tblW w:w="10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80"/>
        <w:gridCol w:w="2100"/>
      </w:tblGrid>
      <w:tr w:rsidR="00DA6268" w14:paraId="50351FC4" w14:textId="77777777">
        <w:trPr>
          <w:trHeight w:val="320"/>
        </w:trPr>
        <w:tc>
          <w:tcPr>
            <w:tcW w:w="7980" w:type="dxa"/>
          </w:tcPr>
          <w:p w14:paraId="38D35E61" w14:textId="0F09D62C" w:rsidR="00DA6268" w:rsidRDefault="00802537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>Independent</w:t>
            </w:r>
            <w:r w:rsidR="00EC0831"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 xml:space="preserve">, </w:t>
            </w:r>
            <w:r w:rsidR="00EC0831"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2100" w:type="dxa"/>
          </w:tcPr>
          <w:p w14:paraId="1FD88363" w14:textId="77777777" w:rsidR="00DA6268" w:rsidRDefault="00EC0831">
            <w:pPr>
              <w:pStyle w:val="Heading2"/>
              <w:ind w:firstLine="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2015 – Present </w:t>
            </w:r>
          </w:p>
        </w:tc>
      </w:tr>
      <w:tr w:rsidR="00DA6268" w14:paraId="4DD86F4F" w14:textId="77777777" w:rsidTr="005E044E">
        <w:trPr>
          <w:trHeight w:val="1972"/>
        </w:trPr>
        <w:tc>
          <w:tcPr>
            <w:tcW w:w="10080" w:type="dxa"/>
            <w:gridSpan w:val="2"/>
          </w:tcPr>
          <w:p w14:paraId="211081E4" w14:textId="621AF058" w:rsidR="00DA6268" w:rsidRDefault="005E044E">
            <w:pPr>
              <w:pStyle w:val="Heading3"/>
            </w:pPr>
            <w:bookmarkStart w:id="0" w:name="h.7a09ojaptv5n" w:colFirst="0" w:colLast="0"/>
            <w:bookmarkEnd w:id="0"/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 xml:space="preserve">Service and Project Management </w:t>
            </w:r>
            <w:r w:rsidR="00EC0831">
              <w:rPr>
                <w:rFonts w:ascii="Arial" w:eastAsia="Arial" w:hAnsi="Arial" w:cs="Arial"/>
                <w:i w:val="0"/>
                <w:sz w:val="22"/>
                <w:szCs w:val="22"/>
              </w:rPr>
              <w:t>Consultant</w:t>
            </w:r>
          </w:p>
          <w:p w14:paraId="1153B995" w14:textId="77777777" w:rsidR="00DA6268" w:rsidRDefault="00EC0831">
            <w:pPr>
              <w:numPr>
                <w:ilvl w:val="0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Delivery of Microsoft Project Server 2013 (Sharepoint 2013) </w:t>
            </w:r>
          </w:p>
          <w:p w14:paraId="540353FB" w14:textId="77777777" w:rsidR="00DA6268" w:rsidRDefault="00EC0831">
            <w:pPr>
              <w:numPr>
                <w:ilvl w:val="0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Conduct ITIL trainings</w:t>
            </w:r>
          </w:p>
          <w:p w14:paraId="1EB9AFA2" w14:textId="77777777" w:rsidR="00DA6268" w:rsidRDefault="00EC0831">
            <w:pPr>
              <w:numPr>
                <w:ilvl w:val="0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Coach IT teams in process improvement using business simulation </w:t>
            </w:r>
          </w:p>
          <w:p w14:paraId="54939F76" w14:textId="77777777" w:rsidR="00DA6268" w:rsidRDefault="00EC0831">
            <w:pPr>
              <w:numPr>
                <w:ilvl w:val="1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ITIL, Apollo 13 an ITSM Experience</w:t>
            </w:r>
          </w:p>
          <w:p w14:paraId="3E5941E4" w14:textId="77777777" w:rsidR="00DA6268" w:rsidRDefault="00EC0831">
            <w:pPr>
              <w:numPr>
                <w:ilvl w:val="1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Project Management, Challenge of Egypt </w:t>
            </w:r>
          </w:p>
          <w:p w14:paraId="3E8359A7" w14:textId="54AB83B6" w:rsidR="00DA6268" w:rsidRPr="005E044E" w:rsidRDefault="00EC0831">
            <w:pPr>
              <w:numPr>
                <w:ilvl w:val="0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Active board member of P</w:t>
            </w:r>
            <w:r w:rsidR="005E044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roject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</w:t>
            </w:r>
            <w:r w:rsidR="005E044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anagement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</w:t>
            </w:r>
            <w:r w:rsidR="005E044E">
              <w:rPr>
                <w:rFonts w:ascii="Arial" w:eastAsia="Arial" w:hAnsi="Arial" w:cs="Arial"/>
                <w:sz w:val="22"/>
                <w:szCs w:val="22"/>
                <w:highlight w:val="white"/>
              </w:rPr>
              <w:t>nstitute of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Thailand</w:t>
            </w:r>
          </w:p>
          <w:p w14:paraId="0141A15F" w14:textId="52C24AC8" w:rsidR="005E044E" w:rsidRDefault="005E044E">
            <w:pPr>
              <w:numPr>
                <w:ilvl w:val="0"/>
                <w:numId w:val="1"/>
              </w:numPr>
              <w:tabs>
                <w:tab w:val="left" w:pos="432"/>
                <w:tab w:val="right" w:pos="9360"/>
              </w:tabs>
              <w:ind w:right="-1951" w:hanging="360"/>
              <w:contextualSpacing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Drive</w:t>
            </w:r>
            <w:bookmarkStart w:id="1" w:name="_GoBack"/>
            <w:bookmarkEnd w:id="1"/>
            <w:r w:rsidRPr="005E044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IT Service Management community in Bangkok</w:t>
            </w:r>
            <w:r>
              <w:rPr>
                <w:sz w:val="22"/>
                <w:szCs w:val="22"/>
                <w:highlight w:val="white"/>
              </w:rPr>
              <w:t xml:space="preserve"> (ITSM BKK)</w:t>
            </w:r>
          </w:p>
        </w:tc>
      </w:tr>
    </w:tbl>
    <w:p w14:paraId="03331394" w14:textId="77777777" w:rsidR="00DA6268" w:rsidRDefault="00DA6268">
      <w:pPr>
        <w:tabs>
          <w:tab w:val="left" w:pos="432"/>
          <w:tab w:val="right" w:pos="9360"/>
        </w:tabs>
      </w:pPr>
    </w:p>
    <w:p w14:paraId="5982C697" w14:textId="77777777" w:rsidR="00DA6268" w:rsidRDefault="00DA6268">
      <w:pPr>
        <w:tabs>
          <w:tab w:val="left" w:pos="432"/>
          <w:tab w:val="right" w:pos="9360"/>
        </w:tabs>
      </w:pPr>
    </w:p>
    <w:tbl>
      <w:tblPr>
        <w:tblStyle w:val="a0"/>
        <w:tblW w:w="101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46"/>
        <w:gridCol w:w="2126"/>
      </w:tblGrid>
      <w:tr w:rsidR="00DA6268" w14:paraId="702928A5" w14:textId="77777777">
        <w:trPr>
          <w:trHeight w:val="320"/>
        </w:trPr>
        <w:tc>
          <w:tcPr>
            <w:tcW w:w="8046" w:type="dxa"/>
          </w:tcPr>
          <w:p w14:paraId="0909870C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 xml:space="preserve">PCUBED,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2126" w:type="dxa"/>
          </w:tcPr>
          <w:p w14:paraId="4D8E88F6" w14:textId="77777777" w:rsidR="00DA6268" w:rsidRDefault="00EC0831" w:rsidP="00513770">
            <w:pPr>
              <w:pStyle w:val="Heading2"/>
              <w:ind w:right="-52" w:firstLine="1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2014 – 2015 </w:t>
            </w:r>
          </w:p>
        </w:tc>
      </w:tr>
      <w:tr w:rsidR="00DA6268" w14:paraId="1343C7E8" w14:textId="77777777">
        <w:tc>
          <w:tcPr>
            <w:tcW w:w="10172" w:type="dxa"/>
            <w:gridSpan w:val="2"/>
          </w:tcPr>
          <w:p w14:paraId="760935A1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Senior Principal Consultant</w:t>
            </w:r>
          </w:p>
          <w:p w14:paraId="5A5B4CB6" w14:textId="77777777" w:rsidR="00DA6268" w:rsidRDefault="00EC0831">
            <w:pPr>
              <w:numPr>
                <w:ilvl w:val="0"/>
                <w:numId w:val="1"/>
              </w:numPr>
              <w:ind w:right="-1951" w:hanging="360"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Coach and support customers to better manage and deliver their large and challenging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br/>
              <w:t xml:space="preserve">programs by bringing PCUBED’s expertise in their complex program, project, portfolio and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br/>
              <w:t>change management initiatives.</w:t>
            </w:r>
          </w:p>
          <w:p w14:paraId="7B9AB941" w14:textId="77777777" w:rsidR="00DA6268" w:rsidRDefault="00EC0831">
            <w:pPr>
              <w:numPr>
                <w:ilvl w:val="0"/>
                <w:numId w:val="1"/>
              </w:numPr>
              <w:ind w:right="-1951" w:hanging="360"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Delivery of Microsoft Project Server 2013 (Sharepoint 2013) </w:t>
            </w:r>
          </w:p>
          <w:p w14:paraId="79C1FC54" w14:textId="77777777" w:rsidR="00DA6268" w:rsidRDefault="00EC0831">
            <w:pPr>
              <w:numPr>
                <w:ilvl w:val="0"/>
                <w:numId w:val="1"/>
              </w:numPr>
              <w:ind w:right="-1951" w:hanging="360"/>
              <w:rPr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Develop PCUBED consulting business in Thailand</w:t>
            </w:r>
          </w:p>
          <w:p w14:paraId="21FA1D53" w14:textId="77777777" w:rsidR="00DA6268" w:rsidRDefault="00EC0831">
            <w:pPr>
              <w:numPr>
                <w:ilvl w:val="0"/>
                <w:numId w:val="1"/>
              </w:numPr>
              <w:ind w:right="-1951" w:hanging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Managed partnership with Microsoft in ASEAN</w:t>
            </w:r>
          </w:p>
        </w:tc>
      </w:tr>
    </w:tbl>
    <w:p w14:paraId="2A58BF16" w14:textId="77777777" w:rsidR="00DA6268" w:rsidRDefault="00DA6268">
      <w:pPr>
        <w:tabs>
          <w:tab w:val="left" w:pos="432"/>
          <w:tab w:val="right" w:pos="9360"/>
        </w:tabs>
      </w:pPr>
    </w:p>
    <w:tbl>
      <w:tblPr>
        <w:tblStyle w:val="a1"/>
        <w:tblW w:w="101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46"/>
        <w:gridCol w:w="2126"/>
      </w:tblGrid>
      <w:tr w:rsidR="00DA6268" w14:paraId="7E5B3F73" w14:textId="77777777">
        <w:trPr>
          <w:trHeight w:val="320"/>
        </w:trPr>
        <w:tc>
          <w:tcPr>
            <w:tcW w:w="8046" w:type="dxa"/>
          </w:tcPr>
          <w:p w14:paraId="29A7847D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lastRenderedPageBreak/>
              <w:t xml:space="preserve">SELF-EMPLOYED,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2126" w:type="dxa"/>
          </w:tcPr>
          <w:p w14:paraId="1A926C8E" w14:textId="77777777" w:rsidR="00DA6268" w:rsidRDefault="00EC0831">
            <w:pPr>
              <w:pStyle w:val="Heading2"/>
              <w:ind w:firstLine="1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2013 – 2014 </w:t>
            </w:r>
          </w:p>
        </w:tc>
      </w:tr>
      <w:tr w:rsidR="00DA6268" w14:paraId="2492A55E" w14:textId="77777777">
        <w:tc>
          <w:tcPr>
            <w:tcW w:w="10172" w:type="dxa"/>
            <w:gridSpan w:val="2"/>
          </w:tcPr>
          <w:p w14:paraId="0D9E2401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Independent Trainer and Consultant</w:t>
            </w:r>
          </w:p>
          <w:p w14:paraId="06D7EC58" w14:textId="77777777" w:rsidR="00DA6268" w:rsidRDefault="00EC0831">
            <w:pPr>
              <w:numPr>
                <w:ilvl w:val="0"/>
                <w:numId w:val="2"/>
              </w:numPr>
              <w:ind w:right="-300"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Deliver IT Best Practices training (ITIL, COBIT) for organization in ASEAN (classroom and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br/>
              <w:t>virtual). Conduct Business simulation workshop for process improvement.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CA85E14" w14:textId="77777777" w:rsidR="00DA6268" w:rsidRDefault="00DA6268">
      <w:pPr>
        <w:tabs>
          <w:tab w:val="left" w:pos="432"/>
          <w:tab w:val="right" w:pos="9360"/>
        </w:tabs>
      </w:pPr>
    </w:p>
    <w:tbl>
      <w:tblPr>
        <w:tblStyle w:val="a2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28"/>
        <w:gridCol w:w="1548"/>
      </w:tblGrid>
      <w:tr w:rsidR="00DA6268" w14:paraId="1009E41C" w14:textId="77777777">
        <w:trPr>
          <w:trHeight w:val="320"/>
        </w:trPr>
        <w:tc>
          <w:tcPr>
            <w:tcW w:w="8028" w:type="dxa"/>
          </w:tcPr>
          <w:p w14:paraId="722E0CE4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 xml:space="preserve">MICROSOFT,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1548" w:type="dxa"/>
          </w:tcPr>
          <w:p w14:paraId="6BB168AF" w14:textId="77777777" w:rsidR="00DA6268" w:rsidRDefault="00EC0831">
            <w:pPr>
              <w:pStyle w:val="Heading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2010 – 2012 </w:t>
            </w:r>
          </w:p>
        </w:tc>
      </w:tr>
      <w:tr w:rsidR="00DA6268" w14:paraId="17021616" w14:textId="77777777">
        <w:tc>
          <w:tcPr>
            <w:tcW w:w="8028" w:type="dxa"/>
          </w:tcPr>
          <w:p w14:paraId="6680B440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Professional Development and Resource Manager</w:t>
            </w:r>
          </w:p>
        </w:tc>
        <w:tc>
          <w:tcPr>
            <w:tcW w:w="1548" w:type="dxa"/>
          </w:tcPr>
          <w:p w14:paraId="728FF049" w14:textId="77777777" w:rsidR="00DA6268" w:rsidRDefault="00EC0831">
            <w:pPr>
              <w:tabs>
                <w:tab w:val="left" w:pos="432"/>
                <w:tab w:val="left" w:pos="3852"/>
                <w:tab w:val="right" w:pos="9360"/>
              </w:tabs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</w:t>
            </w:r>
          </w:p>
        </w:tc>
      </w:tr>
    </w:tbl>
    <w:p w14:paraId="4615FD51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Managed the Business Productivity Infrastructure Optimization practice in South East Asia to deliver Microsoft Consulting Service (MCS) projects using a combination of internal, offshore and partner resources.</w:t>
      </w:r>
    </w:p>
    <w:p w14:paraId="54A3F686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Managed a team of highly skilled Microsoft Consultants (Sharepoint / MSSQL / BI)</w:t>
      </w:r>
    </w:p>
    <w:p w14:paraId="31355450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Transformed the team culture by expanding the role of consultants through consistent mentoring which resulted in a significant increase in sales pipeline generated by the team and </w:t>
      </w:r>
      <w:r>
        <w:rPr>
          <w:rFonts w:ascii="Arial" w:eastAsia="Arial" w:hAnsi="Arial" w:cs="Arial"/>
          <w:sz w:val="22"/>
          <w:szCs w:val="22"/>
          <w:highlight w:val="white"/>
        </w:rPr>
        <w:br/>
        <w:t>in consistently receiving high scores for customer satisfaction.</w:t>
      </w:r>
    </w:p>
    <w:p w14:paraId="65F04E89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Developed Resource planning and management, with annual/quarterly capacity plan and monthly/weekly tracking, for a mixed pool of resources (internal, offshore and partners). </w:t>
      </w:r>
    </w:p>
    <w:p w14:paraId="4F01D6EE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Increased customer satisfaction to meet company target</w:t>
      </w:r>
    </w:p>
    <w:p w14:paraId="149F374A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Implemented recovery plan to optimize resource utilization</w:t>
      </w:r>
    </w:p>
    <w:p w14:paraId="3B18C8A8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Drove adoption and usage of a resource and planning tools for SEA, to improve billable utilization and forecast accuracy.</w:t>
      </w:r>
    </w:p>
    <w:p w14:paraId="40D6A667" w14:textId="77777777" w:rsidR="00DA6268" w:rsidRDefault="00EC0831">
      <w:pPr>
        <w:numPr>
          <w:ilvl w:val="0"/>
          <w:numId w:val="6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Implemented process optimization for proposal creation within Microsoft Consulting Services in South East Asia to reduce proposal generation time by 50% (six sigma project).</w:t>
      </w:r>
    </w:p>
    <w:p w14:paraId="05BAA14D" w14:textId="77777777" w:rsidR="00DA6268" w:rsidRDefault="00DA6268"/>
    <w:p w14:paraId="63CABF51" w14:textId="77777777" w:rsidR="00DA6268" w:rsidRDefault="00DA6268"/>
    <w:tbl>
      <w:tblPr>
        <w:tblStyle w:val="a3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218"/>
        <w:gridCol w:w="2358"/>
      </w:tblGrid>
      <w:tr w:rsidR="00DA6268" w14:paraId="11F6152E" w14:textId="77777777">
        <w:tc>
          <w:tcPr>
            <w:tcW w:w="7218" w:type="dxa"/>
          </w:tcPr>
          <w:p w14:paraId="741A770A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 xml:space="preserve">ITPRENEURS,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2358" w:type="dxa"/>
          </w:tcPr>
          <w:p w14:paraId="3655BB10" w14:textId="77777777" w:rsidR="00DA6268" w:rsidRDefault="00EC0831">
            <w:pPr>
              <w:pStyle w:val="Heading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2007 – 2009 </w:t>
            </w:r>
          </w:p>
        </w:tc>
      </w:tr>
      <w:tr w:rsidR="00DA6268" w14:paraId="6AB917EB" w14:textId="77777777">
        <w:tc>
          <w:tcPr>
            <w:tcW w:w="7218" w:type="dxa"/>
          </w:tcPr>
          <w:p w14:paraId="28973A50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b w:val="0"/>
                <w:i w:val="0"/>
                <w:sz w:val="22"/>
                <w:szCs w:val="22"/>
              </w:rPr>
              <w:t>Leading content provider for IT best practices training and workshops</w:t>
            </w:r>
          </w:p>
        </w:tc>
        <w:tc>
          <w:tcPr>
            <w:tcW w:w="2358" w:type="dxa"/>
          </w:tcPr>
          <w:p w14:paraId="4CA4D62B" w14:textId="77777777" w:rsidR="00DA6268" w:rsidRDefault="00DA6268">
            <w:pPr>
              <w:tabs>
                <w:tab w:val="left" w:pos="432"/>
                <w:tab w:val="right" w:pos="9360"/>
              </w:tabs>
              <w:jc w:val="right"/>
            </w:pPr>
          </w:p>
        </w:tc>
      </w:tr>
      <w:tr w:rsidR="00DA6268" w14:paraId="4BF9120A" w14:textId="77777777">
        <w:tc>
          <w:tcPr>
            <w:tcW w:w="7218" w:type="dxa"/>
          </w:tcPr>
          <w:p w14:paraId="59D78C94" w14:textId="77777777" w:rsidR="00DA6268" w:rsidRDefault="00DA6268">
            <w:pPr>
              <w:pStyle w:val="Heading3"/>
            </w:pPr>
          </w:p>
        </w:tc>
        <w:tc>
          <w:tcPr>
            <w:tcW w:w="2358" w:type="dxa"/>
          </w:tcPr>
          <w:p w14:paraId="3D38ED6C" w14:textId="77777777" w:rsidR="00DA6268" w:rsidRDefault="00DA6268">
            <w:pPr>
              <w:tabs>
                <w:tab w:val="left" w:pos="432"/>
                <w:tab w:val="right" w:pos="9360"/>
              </w:tabs>
              <w:jc w:val="right"/>
            </w:pPr>
          </w:p>
        </w:tc>
      </w:tr>
      <w:tr w:rsidR="00DA6268" w14:paraId="2C87B295" w14:textId="77777777">
        <w:tc>
          <w:tcPr>
            <w:tcW w:w="7218" w:type="dxa"/>
          </w:tcPr>
          <w:p w14:paraId="2D35E040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Regional Business Manager</w:t>
            </w:r>
          </w:p>
        </w:tc>
        <w:tc>
          <w:tcPr>
            <w:tcW w:w="2358" w:type="dxa"/>
          </w:tcPr>
          <w:p w14:paraId="06E8D032" w14:textId="77777777" w:rsidR="00DA6268" w:rsidRDefault="00EC0831">
            <w:pPr>
              <w:tabs>
                <w:tab w:val="left" w:pos="432"/>
                <w:tab w:val="left" w:pos="3852"/>
                <w:tab w:val="right" w:pos="9360"/>
              </w:tabs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</w:t>
            </w:r>
          </w:p>
        </w:tc>
      </w:tr>
    </w:tbl>
    <w:p w14:paraId="6CDABC3E" w14:textId="77777777" w:rsidR="00DA6268" w:rsidRDefault="00EC0831">
      <w:r>
        <w:rPr>
          <w:rFonts w:ascii="Arial" w:eastAsia="Arial" w:hAnsi="Arial" w:cs="Arial"/>
          <w:sz w:val="22"/>
          <w:szCs w:val="22"/>
          <w:highlight w:val="white"/>
        </w:rPr>
        <w:t>Managed ITPreneurs’s education and consulting business in ASEAN through a network of partners:</w:t>
      </w:r>
    </w:p>
    <w:p w14:paraId="1E74869E" w14:textId="77777777" w:rsidR="00DA6268" w:rsidRDefault="00DA6268"/>
    <w:p w14:paraId="775D2B0B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Grew IT course material business by 300%, by transforming the business model, from one-time project engagements to a recurring revenue model via partners.</w:t>
      </w:r>
    </w:p>
    <w:p w14:paraId="4C49486B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Increased sales and delivery network by recruiting 10 new partners.</w:t>
      </w:r>
    </w:p>
    <w:p w14:paraId="326C21CA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Promoted IT Best Practices education, by actively participating in local and regional itSMF Chapter (Marketing Director for ITSMF Thailand from 2007 to 2010)</w:t>
      </w:r>
    </w:p>
    <w:p w14:paraId="795911F4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Enabled pre-sales and delivery capabilities of  partners, by organizing Train the Trainer’s workshop and regular updates of ITPreneur’s offering to existing and potential partners.</w:t>
      </w:r>
    </w:p>
    <w:p w14:paraId="6912BA18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Delivered ITIL and COBIT trainings to various large IT outsourcing companies (Infosys, Wipro, TCS, CSC)</w:t>
      </w:r>
    </w:p>
    <w:p w14:paraId="0E7A1FAF" w14:textId="77777777" w:rsidR="00DA6268" w:rsidRDefault="00EC0831">
      <w:pPr>
        <w:numPr>
          <w:ilvl w:val="0"/>
          <w:numId w:val="3"/>
        </w:numPr>
        <w:ind w:hanging="360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Successfully launched new product for IT Performance Management (SAAS) and signed-up first APAC customer.</w:t>
      </w:r>
    </w:p>
    <w:p w14:paraId="7E1E44CD" w14:textId="77777777" w:rsidR="00DA6268" w:rsidRDefault="00DA6268"/>
    <w:tbl>
      <w:tblPr>
        <w:tblStyle w:val="a4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038"/>
        <w:gridCol w:w="2538"/>
      </w:tblGrid>
      <w:tr w:rsidR="00DA6268" w14:paraId="2A9AFBE5" w14:textId="77777777">
        <w:tc>
          <w:tcPr>
            <w:tcW w:w="7038" w:type="dxa"/>
          </w:tcPr>
          <w:p w14:paraId="6A427092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>CA (COMPUTER ASSOCIATES), Singapore/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Thailand</w:t>
            </w:r>
          </w:p>
        </w:tc>
        <w:tc>
          <w:tcPr>
            <w:tcW w:w="2538" w:type="dxa"/>
          </w:tcPr>
          <w:p w14:paraId="11E573DF" w14:textId="77777777" w:rsidR="00DA6268" w:rsidRDefault="00EC0831">
            <w:pPr>
              <w:pStyle w:val="Heading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2000 – 2007 </w:t>
            </w:r>
          </w:p>
        </w:tc>
      </w:tr>
      <w:tr w:rsidR="00DA6268" w14:paraId="0AA60BAC" w14:textId="77777777">
        <w:tc>
          <w:tcPr>
            <w:tcW w:w="7038" w:type="dxa"/>
          </w:tcPr>
          <w:p w14:paraId="16BE376B" w14:textId="77777777" w:rsidR="00DA6268" w:rsidRDefault="00DA6268">
            <w:pPr>
              <w:pStyle w:val="Heading3"/>
            </w:pPr>
          </w:p>
        </w:tc>
        <w:tc>
          <w:tcPr>
            <w:tcW w:w="2538" w:type="dxa"/>
          </w:tcPr>
          <w:p w14:paraId="1A60B254" w14:textId="77777777" w:rsidR="00DA6268" w:rsidRDefault="00DA6268">
            <w:pPr>
              <w:tabs>
                <w:tab w:val="left" w:pos="432"/>
                <w:tab w:val="right" w:pos="9360"/>
              </w:tabs>
              <w:jc w:val="right"/>
            </w:pPr>
          </w:p>
        </w:tc>
      </w:tr>
      <w:tr w:rsidR="00DA6268" w14:paraId="46966FA3" w14:textId="77777777">
        <w:tc>
          <w:tcPr>
            <w:tcW w:w="7038" w:type="dxa"/>
          </w:tcPr>
          <w:p w14:paraId="1F1A8015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Solution Architect</w:t>
            </w:r>
          </w:p>
        </w:tc>
        <w:tc>
          <w:tcPr>
            <w:tcW w:w="2538" w:type="dxa"/>
          </w:tcPr>
          <w:p w14:paraId="56B05AC1" w14:textId="77777777" w:rsidR="00DA6268" w:rsidRDefault="00EC0831">
            <w:pPr>
              <w:tabs>
                <w:tab w:val="left" w:pos="432"/>
                <w:tab w:val="left" w:pos="3852"/>
                <w:tab w:val="right" w:pos="9360"/>
              </w:tabs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</w:t>
            </w:r>
          </w:p>
        </w:tc>
      </w:tr>
    </w:tbl>
    <w:p w14:paraId="14458BAC" w14:textId="77777777" w:rsidR="00DA6268" w:rsidRDefault="00EC0831">
      <w:r>
        <w:rPr>
          <w:rFonts w:ascii="Arial" w:eastAsia="Arial" w:hAnsi="Arial" w:cs="Arial"/>
          <w:sz w:val="22"/>
          <w:szCs w:val="22"/>
          <w:highlight w:val="white"/>
        </w:rPr>
        <w:t>Responsible for supporting the sales and delivery of multi-millions dollar enterprise management solutions in ASEAN. Hold multiple roles from consultant, team leader, ITSM evangelist to solution architect:</w:t>
      </w:r>
    </w:p>
    <w:p w14:paraId="4B0BF597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Delivered a multi million enterprise management solutions for the Kuala Lumpur Stock Exchange </w:t>
      </w:r>
    </w:p>
    <w:p w14:paraId="24D96CDC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Sold and architected a service desk and configuration management solution to Holcim Asia (Thailand)</w:t>
      </w:r>
    </w:p>
    <w:p w14:paraId="443206F1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Architected and implemented a business solution for 7-11 stores in Thailand (6,000 stores)</w:t>
      </w:r>
    </w:p>
    <w:p w14:paraId="4E412F48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Planned and migrated a critical security solution for TESCO Thailand (2,000 users)</w:t>
      </w:r>
    </w:p>
    <w:p w14:paraId="35BFADEE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Reviewed architecture and diagnosed problems for an asset management solution (10,000 desktops)</w:t>
      </w:r>
    </w:p>
    <w:p w14:paraId="158055F6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Educated customers/partners on IT Best Practices by conducting ITSM workshop using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  <w:highlight w:val="white"/>
        </w:rPr>
        <w:t>Apollo 13 simulation Tools (Telco and banking customers)</w:t>
      </w:r>
    </w:p>
    <w:p w14:paraId="776E7151" w14:textId="77777777" w:rsidR="00DA6268" w:rsidRDefault="00EC083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Speaker on “Running IT as a Service” at CA EXPO 2007 (Malaysia) </w:t>
      </w:r>
    </w:p>
    <w:p w14:paraId="62FE1E0B" w14:textId="77777777" w:rsidR="00DA6268" w:rsidRDefault="00DA6268"/>
    <w:tbl>
      <w:tblPr>
        <w:tblStyle w:val="a5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038"/>
        <w:gridCol w:w="2538"/>
      </w:tblGrid>
      <w:tr w:rsidR="00DA6268" w14:paraId="382DAE5A" w14:textId="77777777">
        <w:tc>
          <w:tcPr>
            <w:tcW w:w="7038" w:type="dxa"/>
          </w:tcPr>
          <w:p w14:paraId="49D3824F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b/>
                <w:smallCaps/>
                <w:sz w:val="22"/>
                <w:szCs w:val="22"/>
              </w:rPr>
              <w:t>ASP1 ASIA, Singapore</w:t>
            </w:r>
          </w:p>
        </w:tc>
        <w:tc>
          <w:tcPr>
            <w:tcW w:w="2538" w:type="dxa"/>
          </w:tcPr>
          <w:p w14:paraId="523AE345" w14:textId="77777777" w:rsidR="00DA6268" w:rsidRDefault="00EC0831">
            <w:pPr>
              <w:pStyle w:val="Heading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2000 – 2002 </w:t>
            </w:r>
          </w:p>
        </w:tc>
      </w:tr>
      <w:tr w:rsidR="00DA6268" w14:paraId="7A19B491" w14:textId="77777777">
        <w:tc>
          <w:tcPr>
            <w:tcW w:w="7038" w:type="dxa"/>
          </w:tcPr>
          <w:p w14:paraId="4B8675D5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b w:val="0"/>
                <w:i w:val="0"/>
                <w:sz w:val="22"/>
                <w:szCs w:val="22"/>
              </w:rPr>
              <w:t>Application Service Provider (SAAS), a CA/KEPPEL Joint Venture</w:t>
            </w:r>
          </w:p>
        </w:tc>
        <w:tc>
          <w:tcPr>
            <w:tcW w:w="2538" w:type="dxa"/>
          </w:tcPr>
          <w:p w14:paraId="00633CA2" w14:textId="77777777" w:rsidR="00DA6268" w:rsidRDefault="00DA6268">
            <w:pPr>
              <w:tabs>
                <w:tab w:val="left" w:pos="432"/>
                <w:tab w:val="right" w:pos="9360"/>
              </w:tabs>
              <w:jc w:val="right"/>
            </w:pPr>
          </w:p>
        </w:tc>
      </w:tr>
      <w:tr w:rsidR="00DA6268" w14:paraId="3760423A" w14:textId="77777777">
        <w:tc>
          <w:tcPr>
            <w:tcW w:w="7038" w:type="dxa"/>
          </w:tcPr>
          <w:p w14:paraId="473114D7" w14:textId="77777777" w:rsidR="00DA6268" w:rsidRDefault="00DA6268">
            <w:pPr>
              <w:pStyle w:val="Heading3"/>
            </w:pPr>
          </w:p>
        </w:tc>
        <w:tc>
          <w:tcPr>
            <w:tcW w:w="2538" w:type="dxa"/>
          </w:tcPr>
          <w:p w14:paraId="40F94F34" w14:textId="77777777" w:rsidR="00DA6268" w:rsidRDefault="00DA6268">
            <w:pPr>
              <w:tabs>
                <w:tab w:val="left" w:pos="432"/>
                <w:tab w:val="right" w:pos="9360"/>
              </w:tabs>
              <w:jc w:val="right"/>
            </w:pPr>
          </w:p>
        </w:tc>
      </w:tr>
      <w:tr w:rsidR="00DA6268" w14:paraId="102C2010" w14:textId="77777777">
        <w:tc>
          <w:tcPr>
            <w:tcW w:w="7038" w:type="dxa"/>
          </w:tcPr>
          <w:p w14:paraId="02D977BA" w14:textId="77777777" w:rsidR="00DA6268" w:rsidRDefault="00EC0831">
            <w:pPr>
              <w:pStyle w:val="Heading3"/>
            </w:pPr>
            <w:r>
              <w:rPr>
                <w:rFonts w:ascii="Arial" w:eastAsia="Arial" w:hAnsi="Arial" w:cs="Arial"/>
                <w:i w:val="0"/>
                <w:sz w:val="22"/>
                <w:szCs w:val="22"/>
              </w:rPr>
              <w:t>Chief Technical Officer</w:t>
            </w:r>
          </w:p>
        </w:tc>
        <w:tc>
          <w:tcPr>
            <w:tcW w:w="2538" w:type="dxa"/>
          </w:tcPr>
          <w:p w14:paraId="6BD2C713" w14:textId="77777777" w:rsidR="00DA6268" w:rsidRDefault="00EC0831">
            <w:pPr>
              <w:tabs>
                <w:tab w:val="left" w:pos="432"/>
                <w:tab w:val="left" w:pos="3852"/>
                <w:tab w:val="right" w:pos="9360"/>
              </w:tabs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</w:t>
            </w:r>
          </w:p>
        </w:tc>
      </w:tr>
    </w:tbl>
    <w:p w14:paraId="07D6CF79" w14:textId="77777777" w:rsidR="00DA6268" w:rsidRDefault="00EC0831">
      <w:pPr>
        <w:ind w:left="60"/>
      </w:pPr>
      <w:r>
        <w:rPr>
          <w:rFonts w:ascii="Arial" w:eastAsia="Arial" w:hAnsi="Arial" w:cs="Arial"/>
          <w:sz w:val="22"/>
          <w:szCs w:val="22"/>
          <w:highlight w:val="white"/>
        </w:rPr>
        <w:t>Responsible for building the infrastructure and technical organization to provide software as a service (SAAS) to customers in SEA:</w:t>
      </w:r>
    </w:p>
    <w:p w14:paraId="56E1F746" w14:textId="77777777" w:rsidR="00DA6268" w:rsidRDefault="00DA6268"/>
    <w:p w14:paraId="35D8199D" w14:textId="77777777" w:rsidR="00DA6268" w:rsidRDefault="00EC0831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Recruited and managed the technical team (5 persons)</w:t>
      </w:r>
    </w:p>
    <w:p w14:paraId="3E5B6611" w14:textId="77777777" w:rsidR="00DA6268" w:rsidRDefault="00EC0831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Launched an innovative Service Management solution to enable data centers and large organizations to “Run IT as a Business”</w:t>
      </w:r>
    </w:p>
    <w:p w14:paraId="53675F55" w14:textId="77777777" w:rsidR="00DA6268" w:rsidRDefault="00EC0831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Promoted adoption of IT Best Practices based on ITIL framework.</w:t>
      </w:r>
    </w:p>
    <w:p w14:paraId="3FC132D2" w14:textId="77777777" w:rsidR="00DA6268" w:rsidRDefault="00EC0831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Speaker on “On-Demand Computing”  at CA Roadshow 2001 (India) </w:t>
      </w:r>
    </w:p>
    <w:p w14:paraId="0ADB27B8" w14:textId="77777777" w:rsidR="00DA6268" w:rsidRDefault="00DA6268">
      <w:pPr>
        <w:tabs>
          <w:tab w:val="left" w:pos="432"/>
          <w:tab w:val="right" w:pos="9360"/>
        </w:tabs>
      </w:pPr>
    </w:p>
    <w:p w14:paraId="148F7020" w14:textId="77777777" w:rsidR="00DA6268" w:rsidRDefault="00DA6268">
      <w:pPr>
        <w:tabs>
          <w:tab w:val="left" w:pos="432"/>
          <w:tab w:val="right" w:pos="9360"/>
        </w:tabs>
      </w:pPr>
    </w:p>
    <w:p w14:paraId="5DCD2A87" w14:textId="77777777" w:rsidR="00DA6268" w:rsidRDefault="00EC0831">
      <w:pPr>
        <w:pStyle w:val="Heading1"/>
        <w:tabs>
          <w:tab w:val="right" w:pos="9360"/>
        </w:tabs>
      </w:pPr>
      <w:bookmarkStart w:id="2" w:name="h.37othz7i53xs" w:colFirst="0" w:colLast="0"/>
      <w:bookmarkEnd w:id="2"/>
      <w:r>
        <w:rPr>
          <w:rFonts w:ascii="Arial" w:eastAsia="Arial" w:hAnsi="Arial" w:cs="Arial"/>
          <w:sz w:val="22"/>
          <w:szCs w:val="22"/>
        </w:rPr>
        <w:t>REFERENCE</w:t>
      </w:r>
    </w:p>
    <w:p w14:paraId="22E57202" w14:textId="77777777" w:rsidR="00DA6268" w:rsidRDefault="00DA6268">
      <w:pPr>
        <w:tabs>
          <w:tab w:val="left" w:pos="432"/>
          <w:tab w:val="right" w:pos="9360"/>
        </w:tabs>
      </w:pPr>
    </w:p>
    <w:p w14:paraId="57537EF5" w14:textId="77777777" w:rsidR="00DA6268" w:rsidRDefault="00EC0831">
      <w:r>
        <w:rPr>
          <w:rFonts w:ascii="Arial" w:eastAsia="Arial" w:hAnsi="Arial" w:cs="Arial"/>
          <w:sz w:val="22"/>
          <w:szCs w:val="22"/>
        </w:rPr>
        <w:t xml:space="preserve">PATRICK DONOHOE  </w:t>
      </w:r>
      <w:r>
        <w:rPr>
          <w:rFonts w:ascii="Arial" w:eastAsia="Arial" w:hAnsi="Arial" w:cs="Arial"/>
          <w:sz w:val="22"/>
          <w:szCs w:val="22"/>
        </w:rPr>
        <w:tab/>
        <w:t>Microsoft, APAC Delivery Director</w:t>
      </w:r>
      <w:r>
        <w:rPr>
          <w:rFonts w:ascii="Arial" w:eastAsia="Arial" w:hAnsi="Arial" w:cs="Arial"/>
          <w:sz w:val="22"/>
          <w:szCs w:val="22"/>
        </w:rPr>
        <w:br/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93A5ABD" w14:textId="77777777" w:rsidR="00DA6268" w:rsidRDefault="00EC0831">
      <w:pPr>
        <w:pStyle w:val="Heading1"/>
        <w:tabs>
          <w:tab w:val="right" w:pos="9360"/>
        </w:tabs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0EB7E76B" w14:textId="77777777" w:rsidR="00DA6268" w:rsidRDefault="00DA6268"/>
    <w:p w14:paraId="4035B6C8" w14:textId="77777777" w:rsidR="00DA6268" w:rsidRDefault="00EC0831">
      <w:r>
        <w:rPr>
          <w:rFonts w:ascii="Arial" w:eastAsia="Arial" w:hAnsi="Arial" w:cs="Arial"/>
          <w:sz w:val="22"/>
          <w:szCs w:val="22"/>
        </w:rPr>
        <w:t xml:space="preserve">1991 – 1994  </w:t>
      </w:r>
      <w:r>
        <w:rPr>
          <w:rFonts w:ascii="Arial" w:eastAsia="Arial" w:hAnsi="Arial" w:cs="Arial"/>
          <w:sz w:val="22"/>
          <w:szCs w:val="22"/>
        </w:rPr>
        <w:tab/>
        <w:t>Masters degree in Computer and Electronic</w:t>
      </w:r>
      <w:r>
        <w:rPr>
          <w:rFonts w:ascii="Arial" w:eastAsia="Arial" w:hAnsi="Arial" w:cs="Arial"/>
          <w:sz w:val="22"/>
          <w:szCs w:val="22"/>
        </w:rPr>
        <w:br/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Institut National Polytechnique de Grenoble, France</w:t>
      </w:r>
    </w:p>
    <w:p w14:paraId="67B1F85C" w14:textId="77777777" w:rsidR="00DA6268" w:rsidRDefault="00DA6268"/>
    <w:p w14:paraId="3191DC3B" w14:textId="77777777" w:rsidR="00DA6268" w:rsidRDefault="00EC0831">
      <w:r>
        <w:rPr>
          <w:rFonts w:ascii="Arial" w:eastAsia="Arial" w:hAnsi="Arial" w:cs="Arial"/>
          <w:sz w:val="22"/>
          <w:szCs w:val="22"/>
        </w:rPr>
        <w:t xml:space="preserve">2009 - 2010 </w:t>
      </w:r>
      <w:r>
        <w:rPr>
          <w:rFonts w:ascii="Arial" w:eastAsia="Arial" w:hAnsi="Arial" w:cs="Arial"/>
          <w:sz w:val="22"/>
          <w:szCs w:val="22"/>
        </w:rPr>
        <w:tab/>
        <w:t>Intensive Thai Program at Chulalongkorn University (Thailand)</w:t>
      </w:r>
    </w:p>
    <w:p w14:paraId="43BA921C" w14:textId="77777777" w:rsidR="00DA6268" w:rsidRDefault="00DA6268"/>
    <w:p w14:paraId="4FB51520" w14:textId="501334E8" w:rsidR="00DA6268" w:rsidRDefault="00EC0831" w:rsidP="005E044E">
      <w:r>
        <w:rPr>
          <w:rFonts w:ascii="Arial" w:eastAsia="Arial" w:hAnsi="Arial" w:cs="Arial"/>
          <w:sz w:val="22"/>
          <w:szCs w:val="22"/>
        </w:rPr>
        <w:t>2012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Gamification - Coursera</w:t>
      </w:r>
    </w:p>
    <w:p w14:paraId="70F84FC1" w14:textId="77777777" w:rsidR="00DA6268" w:rsidRDefault="00DA6268">
      <w:pPr>
        <w:tabs>
          <w:tab w:val="left" w:pos="432"/>
          <w:tab w:val="right" w:pos="9360"/>
        </w:tabs>
        <w:jc w:val="center"/>
      </w:pPr>
    </w:p>
    <w:p w14:paraId="011884DF" w14:textId="77777777" w:rsidR="00DA6268" w:rsidRDefault="00DA6268">
      <w:pPr>
        <w:tabs>
          <w:tab w:val="left" w:pos="432"/>
          <w:tab w:val="right" w:pos="9360"/>
        </w:tabs>
        <w:jc w:val="center"/>
      </w:pPr>
    </w:p>
    <w:p w14:paraId="24AE05E7" w14:textId="77777777" w:rsidR="00DA6268" w:rsidRDefault="00EC0831">
      <w:pPr>
        <w:tabs>
          <w:tab w:val="left" w:pos="432"/>
          <w:tab w:val="right" w:pos="9360"/>
        </w:tabs>
        <w:jc w:val="center"/>
      </w:pPr>
      <w:r>
        <w:rPr>
          <w:rFonts w:ascii="Arial" w:eastAsia="Arial" w:hAnsi="Arial" w:cs="Arial"/>
          <w:b/>
          <w:sz w:val="22"/>
          <w:szCs w:val="22"/>
        </w:rPr>
        <w:t>PROFESSIONAL DEVELOPMENT</w:t>
      </w:r>
      <w:r>
        <w:rPr>
          <w:rFonts w:ascii="Arial" w:eastAsia="Arial" w:hAnsi="Arial" w:cs="Arial"/>
          <w:b/>
          <w:sz w:val="22"/>
          <w:szCs w:val="22"/>
        </w:rPr>
        <w:br/>
      </w:r>
    </w:p>
    <w:tbl>
      <w:tblPr>
        <w:tblStyle w:val="a6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040"/>
      </w:tblGrid>
      <w:tr w:rsidR="00DA6268" w14:paraId="7CB0DA29" w14:textId="77777777">
        <w:tc>
          <w:tcPr>
            <w:tcW w:w="4860" w:type="dxa"/>
          </w:tcPr>
          <w:p w14:paraId="43252CCF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Challenge of Egypt - Project Management Simulation (2015)</w:t>
            </w:r>
          </w:p>
        </w:tc>
        <w:tc>
          <w:tcPr>
            <w:tcW w:w="5040" w:type="dxa"/>
          </w:tcPr>
          <w:p w14:paraId="0434E7E4" w14:textId="77777777" w:rsidR="00DA6268" w:rsidRDefault="00DA6268">
            <w:pPr>
              <w:tabs>
                <w:tab w:val="left" w:pos="432"/>
                <w:tab w:val="right" w:pos="9360"/>
              </w:tabs>
            </w:pPr>
          </w:p>
        </w:tc>
      </w:tr>
      <w:tr w:rsidR="00DA6268" w14:paraId="5C45779E" w14:textId="77777777">
        <w:tc>
          <w:tcPr>
            <w:tcW w:w="4860" w:type="dxa"/>
          </w:tcPr>
          <w:p w14:paraId="27AE49E9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Green Belt (Six Sigma) - 2012</w:t>
            </w:r>
          </w:p>
        </w:tc>
        <w:tc>
          <w:tcPr>
            <w:tcW w:w="5040" w:type="dxa"/>
          </w:tcPr>
          <w:p w14:paraId="64564297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Challenging conversations for Manager (2010)</w:t>
            </w:r>
          </w:p>
        </w:tc>
      </w:tr>
      <w:tr w:rsidR="00DA6268" w14:paraId="6E09CAFB" w14:textId="77777777">
        <w:tc>
          <w:tcPr>
            <w:tcW w:w="4860" w:type="dxa"/>
          </w:tcPr>
          <w:p w14:paraId="700ABD4A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ITIL V3 Expert (2009)</w:t>
            </w:r>
          </w:p>
        </w:tc>
        <w:tc>
          <w:tcPr>
            <w:tcW w:w="5040" w:type="dxa"/>
          </w:tcPr>
          <w:p w14:paraId="670CB85E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Precision Questioning and Answering (2011)</w:t>
            </w:r>
          </w:p>
        </w:tc>
      </w:tr>
      <w:tr w:rsidR="00DA6268" w14:paraId="56151364" w14:textId="77777777">
        <w:tc>
          <w:tcPr>
            <w:tcW w:w="4860" w:type="dxa"/>
          </w:tcPr>
          <w:p w14:paraId="08BD016A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ITSM - BMC Airport Simulation (2008)</w:t>
            </w:r>
          </w:p>
        </w:tc>
        <w:tc>
          <w:tcPr>
            <w:tcW w:w="5040" w:type="dxa"/>
          </w:tcPr>
          <w:p w14:paraId="55EBE74B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Situational Leadership (2011)</w:t>
            </w:r>
          </w:p>
        </w:tc>
      </w:tr>
      <w:tr w:rsidR="00DA6268" w14:paraId="2835D4DF" w14:textId="77777777">
        <w:tc>
          <w:tcPr>
            <w:tcW w:w="4860" w:type="dxa"/>
          </w:tcPr>
          <w:p w14:paraId="0195D9CB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COBIT Train the Trainer Certification (2007)</w:t>
            </w:r>
          </w:p>
        </w:tc>
        <w:tc>
          <w:tcPr>
            <w:tcW w:w="5040" w:type="dxa"/>
          </w:tcPr>
          <w:p w14:paraId="6CD0FAE3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Difficult Conversations (2012)</w:t>
            </w:r>
          </w:p>
        </w:tc>
      </w:tr>
      <w:tr w:rsidR="00DA6268" w14:paraId="175B9D21" w14:textId="77777777">
        <w:tc>
          <w:tcPr>
            <w:tcW w:w="4860" w:type="dxa"/>
          </w:tcPr>
          <w:p w14:paraId="34343E83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Apollo 13 – an ITSM experience –  (2006)</w:t>
            </w:r>
          </w:p>
        </w:tc>
        <w:tc>
          <w:tcPr>
            <w:tcW w:w="5040" w:type="dxa"/>
          </w:tcPr>
          <w:p w14:paraId="534EF6B7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Giving and Receiving Feedback (2012)</w:t>
            </w:r>
          </w:p>
        </w:tc>
      </w:tr>
      <w:tr w:rsidR="00DA6268" w14:paraId="6E4F6DBC" w14:textId="77777777">
        <w:tc>
          <w:tcPr>
            <w:tcW w:w="4860" w:type="dxa"/>
          </w:tcPr>
          <w:p w14:paraId="30A7BBE1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ITIL Service Manager Certification (2004)</w:t>
            </w:r>
          </w:p>
        </w:tc>
        <w:tc>
          <w:tcPr>
            <w:tcW w:w="5040" w:type="dxa"/>
          </w:tcPr>
          <w:p w14:paraId="2DDF65C1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Smart Interviewing (2011)</w:t>
            </w:r>
          </w:p>
        </w:tc>
      </w:tr>
      <w:tr w:rsidR="00DA6268" w14:paraId="781D855E" w14:textId="77777777">
        <w:tc>
          <w:tcPr>
            <w:tcW w:w="4860" w:type="dxa"/>
          </w:tcPr>
          <w:p w14:paraId="7831B037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ITIL Foundation Certification (2002)</w:t>
            </w:r>
          </w:p>
        </w:tc>
        <w:tc>
          <w:tcPr>
            <w:tcW w:w="5040" w:type="dxa"/>
          </w:tcPr>
          <w:p w14:paraId="254235FA" w14:textId="77777777" w:rsidR="00DA6268" w:rsidRDefault="00EC0831">
            <w:pPr>
              <w:tabs>
                <w:tab w:val="left" w:pos="432"/>
                <w:tab w:val="right" w:pos="9360"/>
              </w:tabs>
            </w:pPr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>Strategic Thinking Essentials (2011)</w:t>
            </w:r>
          </w:p>
        </w:tc>
      </w:tr>
    </w:tbl>
    <w:p w14:paraId="1F926747" w14:textId="77777777" w:rsidR="00DA6268" w:rsidRDefault="00DA6268">
      <w:pPr>
        <w:tabs>
          <w:tab w:val="left" w:pos="432"/>
          <w:tab w:val="right" w:pos="9360"/>
        </w:tabs>
      </w:pPr>
    </w:p>
    <w:sectPr w:rsidR="00DA6268">
      <w:headerReference w:type="default" r:id="rId9"/>
      <w:footerReference w:type="default" r:id="rId10"/>
      <w:pgSz w:w="12240" w:h="15840"/>
      <w:pgMar w:top="851" w:right="1080" w:bottom="851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B9C9F" w14:textId="77777777" w:rsidR="00642BE8" w:rsidRDefault="00642BE8">
      <w:r>
        <w:separator/>
      </w:r>
    </w:p>
  </w:endnote>
  <w:endnote w:type="continuationSeparator" w:id="0">
    <w:p w14:paraId="1A83AA97" w14:textId="77777777" w:rsidR="00642BE8" w:rsidRDefault="0064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51B3" w14:textId="5D0DD832" w:rsidR="002747B1" w:rsidRDefault="002747B1" w:rsidP="002747B1">
    <w:pPr>
      <w:pStyle w:val="Footer"/>
    </w:pPr>
    <w:r>
      <w:t>E</w:t>
    </w:r>
    <w:r w:rsidR="005E044E">
      <w:t xml:space="preserve">mail: </w:t>
    </w:r>
    <w:hyperlink r:id="rId1" w:history="1">
      <w:r w:rsidRPr="00C012A5">
        <w:rPr>
          <w:rStyle w:val="Hyperlink"/>
        </w:rPr>
        <w:t>gonzague.patinier@gmail.com</w:t>
      </w:r>
    </w:hyperlink>
    <w:r>
      <w:t xml:space="preserve"> </w:t>
    </w:r>
    <w:r w:rsidR="005E044E">
      <w:br/>
      <w:t>Skype: gonzague.patinier</w:t>
    </w:r>
    <w:r>
      <w:ptab w:relativeTo="margin" w:alignment="center" w:leader="none"/>
    </w:r>
    <w:r>
      <w:ptab w:relativeTo="margin" w:alignment="right" w:leader="none"/>
    </w:r>
    <w:r>
      <w:t>Mob:</w:t>
    </w:r>
    <w:r w:rsidRPr="002747B1">
      <w:t xml:space="preserve"> </w:t>
    </w:r>
    <w:r>
      <w:t>+66 (0) 86 008 5788</w:t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0754B" w14:textId="77777777" w:rsidR="00642BE8" w:rsidRDefault="00642BE8">
      <w:r>
        <w:separator/>
      </w:r>
    </w:p>
  </w:footnote>
  <w:footnote w:type="continuationSeparator" w:id="0">
    <w:p w14:paraId="20CD579F" w14:textId="77777777" w:rsidR="00642BE8" w:rsidRDefault="00642B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6FD1A" w14:textId="77777777" w:rsidR="00DA6268" w:rsidRDefault="00DA626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31A23"/>
    <w:multiLevelType w:val="multilevel"/>
    <w:tmpl w:val="F31867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70B2A74"/>
    <w:multiLevelType w:val="multilevel"/>
    <w:tmpl w:val="CEF64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B1E6AF9"/>
    <w:multiLevelType w:val="multilevel"/>
    <w:tmpl w:val="4A7AA4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FB74C9F"/>
    <w:multiLevelType w:val="multilevel"/>
    <w:tmpl w:val="489AD4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86E716A"/>
    <w:multiLevelType w:val="multilevel"/>
    <w:tmpl w:val="6BC848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4D0C17E1"/>
    <w:multiLevelType w:val="multilevel"/>
    <w:tmpl w:val="A9F0EF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DF9105E"/>
    <w:multiLevelType w:val="multilevel"/>
    <w:tmpl w:val="22CC5A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268"/>
    <w:rsid w:val="002747B1"/>
    <w:rsid w:val="00274C65"/>
    <w:rsid w:val="00345295"/>
    <w:rsid w:val="00447D64"/>
    <w:rsid w:val="00513770"/>
    <w:rsid w:val="005E044E"/>
    <w:rsid w:val="00642BE8"/>
    <w:rsid w:val="00702877"/>
    <w:rsid w:val="007F7D8D"/>
    <w:rsid w:val="00802537"/>
    <w:rsid w:val="00A37CA8"/>
    <w:rsid w:val="00AB3D3F"/>
    <w:rsid w:val="00AF26F4"/>
    <w:rsid w:val="00B52FA8"/>
    <w:rsid w:val="00BA16D4"/>
    <w:rsid w:val="00DA6268"/>
    <w:rsid w:val="00DF373D"/>
    <w:rsid w:val="00E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F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432"/>
        <w:tab w:val="left" w:pos="93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tabs>
        <w:tab w:val="left" w:pos="432"/>
        <w:tab w:val="right" w:pos="9360"/>
      </w:tabs>
      <w:jc w:val="righ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tabs>
        <w:tab w:val="left" w:pos="432"/>
        <w:tab w:val="right" w:pos="9360"/>
      </w:tabs>
      <w:outlineLvl w:val="2"/>
    </w:pPr>
    <w:rPr>
      <w:b/>
      <w:i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tabs>
        <w:tab w:val="left" w:pos="432"/>
        <w:tab w:val="right" w:pos="9360"/>
      </w:tabs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B1"/>
  </w:style>
  <w:style w:type="paragraph" w:styleId="Footer">
    <w:name w:val="footer"/>
    <w:basedOn w:val="Normal"/>
    <w:link w:val="FooterChar"/>
    <w:uiPriority w:val="99"/>
    <w:unhideWhenUsed/>
    <w:rsid w:val="00274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B1"/>
  </w:style>
  <w:style w:type="character" w:styleId="Hyperlink">
    <w:name w:val="Hyperlink"/>
    <w:basedOn w:val="DefaultParagraphFont"/>
    <w:uiPriority w:val="99"/>
    <w:unhideWhenUsed/>
    <w:rsid w:val="002747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onzague.patinier@gmail.com" TargetMode="External"/><Relationship Id="rId8" Type="http://schemas.openxmlformats.org/officeDocument/2006/relationships/hyperlink" Target="https://th.linkedin.com/in/gonzaguepatinie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nzague.patini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1064</Words>
  <Characters>6069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Gonzague PATINIER</cp:lastModifiedBy>
  <cp:revision>3</cp:revision>
  <dcterms:created xsi:type="dcterms:W3CDTF">2016-07-24T22:54:00Z</dcterms:created>
  <dcterms:modified xsi:type="dcterms:W3CDTF">2016-07-24T23:00:00Z</dcterms:modified>
</cp:coreProperties>
</file>