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013"/>
      </w:tblGrid>
      <w:tr w:rsidR="00083491" w:rsidRPr="001E796E" w:rsidTr="00691343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1E796E" w:rsidTr="002D44B0">
              <w:tc>
                <w:tcPr>
                  <w:tcW w:w="6237" w:type="dxa"/>
                </w:tcPr>
                <w:p w:rsidR="00083491" w:rsidRPr="001E796E" w:rsidRDefault="00EF46DE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4"/>
                      <w:szCs w:val="44"/>
                    </w:rPr>
                  </w:pPr>
                  <w:proofErr w:type="spellStart"/>
                  <w:r w:rsidRPr="001E796E">
                    <w:rPr>
                      <w:rFonts w:ascii="Arial" w:hAnsi="Arial" w:cs="Arial"/>
                      <w:b/>
                      <w:bCs/>
                      <w:color w:val="595C62"/>
                      <w:sz w:val="44"/>
                      <w:szCs w:val="44"/>
                    </w:rPr>
                    <w:t>Thiraphon</w:t>
                  </w:r>
                  <w:proofErr w:type="spellEnd"/>
                  <w:r w:rsidR="008E112F" w:rsidRPr="001E796E">
                    <w:rPr>
                      <w:rFonts w:ascii="Arial" w:hAnsi="Arial" w:cs="Arial"/>
                      <w:b/>
                      <w:bCs/>
                      <w:color w:val="595C62"/>
                      <w:sz w:val="44"/>
                      <w:szCs w:val="44"/>
                    </w:rPr>
                    <w:t xml:space="preserve"> Chuencharoen</w:t>
                  </w:r>
                </w:p>
              </w:tc>
            </w:tr>
            <w:tr w:rsidR="00083491" w:rsidRPr="001E796E" w:rsidTr="002D44B0">
              <w:tc>
                <w:tcPr>
                  <w:tcW w:w="6237" w:type="dxa"/>
                </w:tcPr>
                <w:p w:rsidR="00083491" w:rsidRPr="001E796E" w:rsidRDefault="009F2958" w:rsidP="003E4BF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Citizenship</w:t>
                  </w:r>
                  <w:r w:rsidR="00A34C4E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 </w:t>
                  </w:r>
                  <w:r w:rsidR="00083491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: </w:t>
                  </w:r>
                  <w:r w:rsidR="003E4BF7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Thai</w:t>
                  </w:r>
                  <w:r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 ▪ Date of birth</w:t>
                  </w:r>
                  <w:r w:rsidR="00A34C4E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 </w:t>
                  </w:r>
                  <w:r w:rsidR="00083491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: </w:t>
                  </w:r>
                  <w:r w:rsidR="003E4BF7" w:rsidRPr="001E796E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07 December 1976</w:t>
                  </w:r>
                </w:p>
              </w:tc>
            </w:tr>
          </w:tbl>
          <w:p w:rsidR="00083491" w:rsidRPr="001E796E" w:rsidRDefault="00083491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13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777"/>
            </w:tblGrid>
            <w:tr w:rsidR="00083491" w:rsidRPr="001E796E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1E796E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Contact</w:t>
                  </w:r>
                </w:p>
              </w:tc>
            </w:tr>
            <w:tr w:rsidR="00083491" w:rsidRPr="001E796E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1E796E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Tel : </w:t>
                  </w:r>
                  <w:r w:rsidR="00F54B25"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081-910-9710</w:t>
                  </w:r>
                </w:p>
                <w:p w:rsidR="009F2958" w:rsidRDefault="00FA7B5B" w:rsidP="008E112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e-mail : </w:t>
                  </w:r>
                  <w:hyperlink r:id="rId7" w:history="1">
                    <w:r w:rsidR="002026F6" w:rsidRPr="00EB4CEF">
                      <w:rPr>
                        <w:rStyle w:val="Hyperlink"/>
                        <w:rFonts w:ascii="Arial" w:hAnsi="Arial" w:cs="Arial"/>
                        <w:b/>
                        <w:bCs/>
                        <w:sz w:val="22"/>
                        <w:szCs w:val="22"/>
                        <w:lang w:val="fr-FR"/>
                      </w:rPr>
                      <w:t>jerdyy@gmail.com</w:t>
                    </w:r>
                  </w:hyperlink>
                </w:p>
                <w:p w:rsidR="002026F6" w:rsidRPr="001E796E" w:rsidRDefault="002026F6" w:rsidP="008E112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Line ID 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jerdyy</w:t>
                  </w:r>
                  <w:proofErr w:type="spellEnd"/>
                </w:p>
              </w:tc>
            </w:tr>
          </w:tbl>
          <w:p w:rsidR="009F2958" w:rsidRPr="001E796E" w:rsidRDefault="009F2958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9F2958" w:rsidRPr="001E796E" w:rsidTr="00691343">
        <w:tc>
          <w:tcPr>
            <w:tcW w:w="10466" w:type="dxa"/>
            <w:gridSpan w:val="2"/>
          </w:tcPr>
          <w:p w:rsidR="009F2958" w:rsidRPr="001E796E" w:rsidRDefault="009F2958" w:rsidP="002D44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1C6487" w:rsidRPr="001E796E" w:rsidRDefault="001C6487" w:rsidP="002D44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9F2958" w:rsidRPr="001E796E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1E796E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Address</w:t>
                  </w:r>
                </w:p>
              </w:tc>
            </w:tr>
            <w:tr w:rsidR="009F2958" w:rsidRPr="001E796E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1E796E" w:rsidRDefault="00EF46DE" w:rsidP="00EF46DE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1159</w:t>
                  </w:r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Paholyothin</w:t>
                  </w:r>
                  <w:proofErr w:type="spellEnd"/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Rd., </w:t>
                  </w:r>
                  <w:proofErr w:type="spellStart"/>
                  <w:r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Senanicom</w:t>
                  </w:r>
                  <w:proofErr w:type="spellEnd"/>
                  <w:r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, </w:t>
                  </w:r>
                  <w:proofErr w:type="spellStart"/>
                  <w:r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Chat</w:t>
                  </w:r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uj</w:t>
                  </w:r>
                  <w:r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ch</w:t>
                  </w:r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ak</w:t>
                  </w:r>
                  <w:proofErr w:type="spellEnd"/>
                  <w:r w:rsidR="003E4BF7" w:rsidRPr="001E796E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, Bangkok 10900</w:t>
                  </w:r>
                </w:p>
              </w:tc>
            </w:tr>
          </w:tbl>
          <w:p w:rsidR="009F2958" w:rsidRPr="001E796E" w:rsidRDefault="009F2958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E52A81" w:rsidRPr="001E796E" w:rsidTr="00C336FB">
        <w:tc>
          <w:tcPr>
            <w:tcW w:w="10466" w:type="dxa"/>
            <w:gridSpan w:val="2"/>
          </w:tcPr>
          <w:p w:rsidR="00E52A81" w:rsidRPr="001E796E" w:rsidRDefault="00E52A81" w:rsidP="00C336F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E52A81" w:rsidRPr="001E796E" w:rsidTr="00C336F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52A81" w:rsidRPr="001E796E" w:rsidRDefault="00AA5EDE" w:rsidP="00C336F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Highlights</w:t>
                  </w:r>
                </w:p>
              </w:tc>
            </w:tr>
            <w:tr w:rsidR="00E52A81" w:rsidRPr="001E796E" w:rsidTr="00C336F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52A81" w:rsidRPr="001E796E" w:rsidRDefault="00E52A81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Over 10 </w:t>
                  </w:r>
                  <w:r w:rsidR="00634B99"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years in </w:t>
                  </w:r>
                  <w:r w:rsidR="00D51DED"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people management as department manager.</w:t>
                  </w:r>
                </w:p>
                <w:p w:rsidR="00E52A81" w:rsidRPr="001E796E" w:rsidRDefault="00E52A81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Over 10 years </w:t>
                  </w:r>
                  <w:r w:rsidR="00D51DED"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of</w:t>
                  </w: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 localization and </w:t>
                  </w:r>
                  <w:r w:rsidR="00AA5EDE"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global </w:t>
                  </w: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IT </w:t>
                  </w:r>
                  <w:r w:rsidR="00634B99"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industries</w:t>
                  </w: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.</w:t>
                  </w:r>
                </w:p>
                <w:p w:rsidR="001E796E" w:rsidRPr="001E796E" w:rsidRDefault="001E796E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Strong in multitasking and quantity management.</w:t>
                  </w:r>
                </w:p>
                <w:p w:rsidR="00E52A81" w:rsidRPr="001E796E" w:rsidRDefault="001E796E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Solid software development knowledge.</w:t>
                  </w:r>
                </w:p>
                <w:p w:rsidR="00FF3B01" w:rsidRPr="001E796E" w:rsidRDefault="00FF3B01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Organizational and strategic planning. </w:t>
                  </w:r>
                </w:p>
                <w:p w:rsidR="00FF0DBE" w:rsidRPr="001E796E" w:rsidRDefault="00FF0DBE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Experienced manager with expertise in human relation and project management</w:t>
                  </w:r>
                  <w:r w:rsid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.</w:t>
                  </w:r>
                </w:p>
                <w:p w:rsidR="00E52A81" w:rsidRPr="001E796E" w:rsidRDefault="001E796E" w:rsidP="001E796E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left="714" w:hanging="357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Experience in project management. </w:t>
                  </w:r>
                </w:p>
              </w:tc>
            </w:tr>
          </w:tbl>
          <w:p w:rsidR="00E52A81" w:rsidRPr="001E796E" w:rsidRDefault="00E52A81" w:rsidP="00C336F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C4E" w:rsidRPr="001E796E" w:rsidTr="00691343">
        <w:tc>
          <w:tcPr>
            <w:tcW w:w="10466" w:type="dxa"/>
            <w:gridSpan w:val="2"/>
          </w:tcPr>
          <w:p w:rsidR="00A34C4E" w:rsidRPr="001E796E" w:rsidRDefault="00A34C4E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9449BE" w:rsidRPr="001E796E" w:rsidTr="002B333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449BE" w:rsidRPr="001E796E" w:rsidRDefault="009449BE" w:rsidP="002B333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Work Experience</w:t>
                  </w:r>
                </w:p>
              </w:tc>
            </w:tr>
            <w:tr w:rsidR="009449BE" w:rsidRPr="001E796E" w:rsidTr="002B333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3"/>
                    <w:gridCol w:w="5001"/>
                  </w:tblGrid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AA5EDE" w:rsidP="00AA5ED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Acclaro (Thailand)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July 2010 - Present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6161B2" w:rsidP="002B3333">
                        <w:pPr>
                          <w:spacing w:after="0" w:line="240" w:lineRule="auto"/>
                          <w:rPr>
                            <w:rFonts w:ascii="Arial" w:hAnsi="Arial" w:cstheme="minorBidi"/>
                            <w:b/>
                            <w:i/>
                            <w:iCs/>
                            <w:color w:val="3B3E42"/>
                            <w:sz w:val="22"/>
                            <w:szCs w:val="28"/>
                            <w:lang w:bidi="th-TH"/>
                          </w:rPr>
                        </w:pPr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Department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2026F6" w:rsidRDefault="002026F6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theme="minorBidi"/>
                            <w:b/>
                            <w:color w:val="3B3E42"/>
                            <w:sz w:val="22"/>
                            <w:szCs w:val="28"/>
                            <w:lang w:bidi="th-TH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1</w:t>
                        </w:r>
                        <w:r w:rsidR="00075B70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30,000+</w:t>
                        </w:r>
                        <w:bookmarkStart w:id="0" w:name="_GoBack"/>
                        <w:bookmarkEnd w:id="0"/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AA5EDE" w:rsidRPr="001E796E" w:rsidRDefault="00AA5EDE" w:rsidP="001E796E">
                        <w:pPr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Driven team performance </w:t>
                        </w:r>
                        <w:r w:rsidR="00D51DED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and KPI achievement. </w:t>
                        </w:r>
                      </w:p>
                      <w:p w:rsidR="00EF46DE" w:rsidRPr="001E796E" w:rsidRDefault="001E796E" w:rsidP="001E796E">
                        <w:pPr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left="714" w:hanging="357"/>
                          <w:jc w:val="lef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Initiate new service and innovation to support new potential opportunity. </w:t>
                        </w:r>
                      </w:p>
                      <w:p w:rsidR="00DB2E82" w:rsidRPr="001E796E" w:rsidRDefault="00DB2E82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To coach and develop the team members to understand project, process, requirement, and new innovation.</w:t>
                        </w:r>
                      </w:p>
                      <w:p w:rsidR="007C7841" w:rsidRPr="001E796E" w:rsidRDefault="00EF46DE" w:rsidP="001E796E">
                        <w:pPr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Managing</w:t>
                        </w:r>
                        <w:r w:rsidR="006161B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and monitor</w:t>
                        </w: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ing</w:t>
                        </w:r>
                        <w:r w:rsidR="006161B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resource</w:t>
                        </w:r>
                        <w:r w:rsidR="006161B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to ensure that all projects will be delivered on time, effectively and efficiently, including within the budget.</w:t>
                        </w:r>
                      </w:p>
                      <w:p w:rsidR="00DB2E82" w:rsidRPr="001E796E" w:rsidRDefault="00DB2E82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To solve problems and provide advice to project team members are to deliver the project smoothly.</w:t>
                        </w:r>
                      </w:p>
                      <w:p w:rsidR="00A109C3" w:rsidRPr="001E796E" w:rsidRDefault="00DB2E82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Motivate, provide support and advise team. </w:t>
                        </w:r>
                      </w:p>
                      <w:p w:rsidR="00A109C3" w:rsidRPr="001E796E" w:rsidRDefault="00A109C3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Workflow process and budgetary report</w:t>
                        </w:r>
                        <w:r w:rsid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</w:t>
                        </w: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to management team</w:t>
                        </w:r>
                        <w:r w:rsidR="00DB2E8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.</w:t>
                        </w:r>
                      </w:p>
                      <w:p w:rsidR="000F21AA" w:rsidRPr="001E796E" w:rsidRDefault="00A24609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Work with project management team and client for project meeting and technical requirement as well as deadline.</w:t>
                        </w:r>
                        <w:r w:rsidR="000F21AA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0F21AA" w:rsidRPr="001E796E" w:rsidRDefault="00A24609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Work with presales team for analyzing and quoting new opportunity.</w:t>
                        </w:r>
                        <w:r w:rsidR="000F21AA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0F21AA" w:rsidRPr="001E796E" w:rsidRDefault="00A72807" w:rsidP="001E796E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jc w:val="left"/>
                          <w:textAlignment w:val="baseline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Hands on project in term of</w:t>
                        </w:r>
                        <w:r w:rsidR="001B4B2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localization</w:t>
                        </w: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engineering, </w:t>
                        </w:r>
                        <w:r w:rsidR="001B4B22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automate script development, testing project lead, and project manager.</w:t>
                        </w:r>
                        <w:r w:rsidR="000F21AA"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9449BE" w:rsidRPr="001E796E" w:rsidRDefault="008C2231" w:rsidP="001E796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Response for technical kickoff meeting with both tech and non-tech team. 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EQHO Communication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May 2004 – July 2010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IT Manager / Technology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Responsible 4 departments 19 people: IT, Engineer, Audio Visual, and Desktop Publishing.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Manage and optimize resource availability for production team.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Resource control and availability for 4 departments.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Project owner for in-house ERP and CRM implementation with Indian and Australian vendors.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Deal and handle with multiple vender both Thailand vender and oversea venders e.g. India vender and Australian vender. 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System customization: ERP(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Netsuite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), Accounting (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WinSpeed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) and CRM(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SugarCRM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)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Cost control and department revenue report to management team.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Define and improve production process.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Problem solving both in project and people.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Motivation team, changing team member attitude.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lastRenderedPageBreak/>
                          <w:t>Research and development new technology, tool and process.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Define IT policy and strategy to support company strategy.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In-house application development using PHP, ASP, MySQL and MS SQL server.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Technical consulting and resolution to project managers and engineers.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Meeting with management team to create the process for project to meet the client’s need.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Perform project management: managing schedule, tracking progress of project, and controlling and allocating resources.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Perform project analysis/evaluation to measure the project value and minimize the overall production cost.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Create KPI to evaluate and improve team performance.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lastRenderedPageBreak/>
                          <w:t>IBM Thailand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November 2003 – May 2004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IT Specialist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1st Tier support Logistic system of IBM global. 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Coordinated with development team to solve functional problem and implemented new version of system.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Tested new system before launching.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Filed bug/defect reports designing in Lotus Note.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Learned logistic model, JIT, and ERP concept.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SDL Inc. Thailand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May 2001 – November 2003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Localization Software Engineer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Worked as a Project Leader/System Analyst/Database Administrator/Web Programmer for Intranet web site, tracking all projects in Asian offices, using ASP, IIS, MS Access, and SQL Server 7. Database Security and Backup &amp; Recovery are taken into account as well.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Developed localization tools using Perl and VBA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Localized software and web sites for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hp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, Dell, Motive,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Nvidia</w:t>
                        </w:r>
                        <w:proofErr w:type="spellEnd"/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  <w:lang w:val="en-GB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Tested localized software, i.e.,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hp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printer drivers,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Nvidia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display drivers, and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eHelpDesk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Motive Software.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  <w:lang w:val="en-GB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Loxley Public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April 1999 – May 2001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System Analyst and Programmer, Technical Support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System analysis and design for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Samitivej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Hospital.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Implemented web site and applications for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Samitivej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Hospital using ASP and MS Visual Basic 6 connecting via SQL Server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Implemented Intranet Web site and applications using Visual Basic 6, ASP, Java Script, MS Access, and MS SQL 7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End user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on site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support at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Samitivej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Hospital.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  <w:lang w:val="en-GB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Provided technical support involving the issues about Windows 9X, NT, Internet Mail.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  <w:lang w:val="en-GB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Fiscal Policy Office, Ministry of Finance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Outsourcing project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 xml:space="preserve">Public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dept.web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 xml:space="preserve"> database project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Thailand public </w:t>
                        </w:r>
                        <w:proofErr w:type="spellStart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dept</w:t>
                        </w:r>
                        <w:proofErr w:type="spellEnd"/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database.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Forecast for total payment in future with different Exchange rate and interest rate.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Historical for public dept.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Forecast for Exchange rate and interest rate.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pStyle w:val="Heading3"/>
                          <w:rPr>
                            <w:rFonts w:ascii="Arial" w:hAnsi="Arial" w:cs="Arial"/>
                            <w:b/>
                            <w:bCs/>
                            <w:iCs/>
                            <w:smallCaps w:val="0"/>
                            <w:color w:val="3B3E42"/>
                            <w:spacing w:val="0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smallCaps w:val="0"/>
                            <w:color w:val="3B3E42"/>
                            <w:spacing w:val="0"/>
                            <w:sz w:val="22"/>
                            <w:szCs w:val="22"/>
                          </w:rPr>
                          <w:t>Siam Fiber Cement Co., ltd. (</w:t>
                        </w:r>
                        <w:r w:rsidRPr="001E796E">
                          <w:rPr>
                            <w:rFonts w:ascii="Arial" w:hAnsi="Arial" w:cs="Arial"/>
                            <w:b/>
                            <w:bCs/>
                            <w:iCs/>
                            <w:smallCaps w:val="0"/>
                            <w:color w:val="3B3E42"/>
                            <w:spacing w:val="0"/>
                            <w:sz w:val="22"/>
                            <w:szCs w:val="22"/>
                          </w:rPr>
                          <w:t>Subsidiary of SCG)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Outsourcing project</w:t>
                        </w:r>
                      </w:p>
                    </w:tc>
                  </w:tr>
                  <w:tr w:rsidR="009449BE" w:rsidRPr="001E796E" w:rsidTr="002B3333">
                    <w:tc>
                      <w:tcPr>
                        <w:tcW w:w="5107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i/>
                            <w:iCs/>
                            <w:color w:val="3B3E42"/>
                            <w:sz w:val="22"/>
                            <w:szCs w:val="22"/>
                          </w:rPr>
                          <w:t>Company and product website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9449BE" w:rsidRPr="001E796E" w:rsidRDefault="009449BE" w:rsidP="002B333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449BE" w:rsidRPr="001E796E" w:rsidTr="002B3333">
                    <w:tc>
                      <w:tcPr>
                        <w:tcW w:w="10215" w:type="dxa"/>
                        <w:gridSpan w:val="2"/>
                      </w:tcPr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www.siamfibrecement.com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Display company profile, product detail, news and email communications.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Dynamic CMS website.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Developed in PHP and MYSQL.</w:t>
                        </w:r>
                      </w:p>
                      <w:p w:rsidR="009449BE" w:rsidRPr="001E796E" w:rsidRDefault="009449BE" w:rsidP="002B3333">
                        <w:pPr>
                          <w:pStyle w:val="ListParagraph"/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449BE" w:rsidRPr="001E796E" w:rsidRDefault="009449BE" w:rsidP="002B333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9449BE" w:rsidRPr="001E796E" w:rsidRDefault="009449BE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1343" w:rsidRPr="001E796E" w:rsidTr="00691343">
        <w:tc>
          <w:tcPr>
            <w:tcW w:w="10466" w:type="dxa"/>
            <w:gridSpan w:val="2"/>
          </w:tcPr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F437F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Localization Engineering Services</w:t>
                  </w:r>
                </w:p>
              </w:tc>
            </w:tr>
            <w:tr w:rsidR="00691343" w:rsidRPr="001E796E" w:rsidTr="00F437F2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pStyle w:val="ListParagraph"/>
                    <w:spacing w:before="0" w:after="0" w:line="24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Prep file to CAT tool format for translation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Post CAT tool file to original format to client delivery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Technical consultant to design the process, giving the suggestion of CAT tool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lastRenderedPageBreak/>
                    <w:t>CAT tool support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INI, Filter, Parser customization for project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Translation Memory management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QA checking service</w:t>
                  </w: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1343" w:rsidRPr="001E796E" w:rsidTr="00691343">
        <w:tc>
          <w:tcPr>
            <w:tcW w:w="10466" w:type="dxa"/>
            <w:gridSpan w:val="2"/>
          </w:tcPr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F437F2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Localization Testing Services</w:t>
                  </w:r>
                </w:p>
              </w:tc>
            </w:tr>
            <w:tr w:rsidR="00691343" w:rsidRPr="001E796E" w:rsidTr="00F437F2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Test lead: test setup and suggestion to linguistic team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Test support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Test script and test plan writing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Conduct localization testing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Bug triaging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Bug fixing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Bug report to client</w:t>
                  </w: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1343" w:rsidRPr="001E796E" w:rsidTr="00691343">
        <w:tc>
          <w:tcPr>
            <w:tcW w:w="10466" w:type="dxa"/>
            <w:gridSpan w:val="2"/>
          </w:tcPr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F437F2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Desktop Publishing Services</w:t>
                  </w:r>
                </w:p>
              </w:tc>
            </w:tr>
            <w:tr w:rsidR="00691343" w:rsidRPr="001E796E" w:rsidTr="00F437F2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Desktop Publishing preparation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Desktop Publishing on MS office 2003 – 2010 and Adobe family 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Screenshot capturing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Help compilation</w:t>
                  </w: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F437F2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Development Services</w:t>
                  </w:r>
                </w:p>
              </w:tc>
            </w:tr>
            <w:tr w:rsidR="00691343" w:rsidRPr="001E796E" w:rsidTr="00F437F2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Script, tool developing e.g. macro, regular expression,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autohotkey</w:t>
                  </w:r>
                  <w:proofErr w:type="spellEnd"/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F437F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Tools and Technologies</w:t>
                  </w:r>
                </w:p>
              </w:tc>
            </w:tr>
            <w:tr w:rsidR="00691343" w:rsidRPr="001E796E" w:rsidTr="00F437F2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ind w:left="0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</w:p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ind w:left="0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CAT tools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SDL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Trados</w:t>
                  </w:r>
                  <w:proofErr w:type="spellEnd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 2007, 2009, 2011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SDLX,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Trados</w:t>
                  </w:r>
                  <w:proofErr w:type="spellEnd"/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SDL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Passolo</w:t>
                  </w:r>
                  <w:proofErr w:type="spellEnd"/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WorldServer</w:t>
                  </w:r>
                  <w:proofErr w:type="spellEnd"/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MemoQ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Wordfast</w:t>
                  </w:r>
                  <w:proofErr w:type="spellEnd"/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Catalyst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RCWinTrans</w:t>
                  </w:r>
                  <w:proofErr w:type="spellEnd"/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Déjà Vu</w:t>
                  </w:r>
                </w:p>
                <w:p w:rsidR="00691343" w:rsidRPr="001E796E" w:rsidRDefault="00691343" w:rsidP="00691343">
                  <w:pPr>
                    <w:pStyle w:val="ListParagraph"/>
                    <w:spacing w:before="0" w:after="0" w:line="360" w:lineRule="auto"/>
                    <w:ind w:left="0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Programming/Scripting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Macro in MS Office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Regular expression e.g.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Search&amp;Replace</w:t>
                  </w:r>
                  <w:proofErr w:type="spellEnd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Emeditor</w:t>
                  </w:r>
                  <w:proofErr w:type="spellEnd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, Notepad++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proofErr w:type="spellStart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Autohotkey</w:t>
                  </w:r>
                  <w:proofErr w:type="spellEnd"/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 xml:space="preserve"> script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Beyond compare rule</w:t>
                  </w:r>
                </w:p>
                <w:p w:rsidR="00691343" w:rsidRPr="001E796E" w:rsidRDefault="00691343" w:rsidP="00691343">
                  <w:pPr>
                    <w:pStyle w:val="ListParagraph"/>
                    <w:numPr>
                      <w:ilvl w:val="0"/>
                      <w:numId w:val="11"/>
                    </w:numPr>
                    <w:spacing w:before="0" w:after="0" w:line="360" w:lineRule="auto"/>
                    <w:jc w:val="left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Other QA scripts</w:t>
                  </w: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691343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1343" w:rsidRPr="001E796E" w:rsidTr="00691343">
        <w:tc>
          <w:tcPr>
            <w:tcW w:w="10466" w:type="dxa"/>
            <w:gridSpan w:val="2"/>
          </w:tcPr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691343" w:rsidRPr="001E796E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1E796E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Languages</w:t>
                  </w:r>
                </w:p>
              </w:tc>
            </w:tr>
            <w:tr w:rsidR="00691343" w:rsidRPr="001E796E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666"/>
                    <w:gridCol w:w="3481"/>
                    <w:gridCol w:w="3867"/>
                  </w:tblGrid>
                  <w:tr w:rsidR="00691343" w:rsidRPr="001E796E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691343" w:rsidRPr="001E796E" w:rsidRDefault="00691343" w:rsidP="0069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 xml:space="preserve">Thai </w:t>
                        </w:r>
                        <w:r w:rsidRPr="001E796E">
                          <w:rPr>
                            <w:rFonts w:ascii="Arial" w:hAnsi="Arial" w:cs="Arial"/>
                            <w:bCs/>
                            <w:color w:val="3B3E42"/>
                            <w:sz w:val="22"/>
                            <w:szCs w:val="2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691343" w:rsidRPr="001E796E" w:rsidRDefault="00691343" w:rsidP="0069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1E796E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English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691343" w:rsidRPr="001E796E" w:rsidRDefault="00691343" w:rsidP="0069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91343" w:rsidRPr="001E796E" w:rsidRDefault="00691343" w:rsidP="006913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1343" w:rsidRPr="001E796E" w:rsidTr="00691343">
        <w:tc>
          <w:tcPr>
            <w:tcW w:w="10466" w:type="dxa"/>
            <w:gridSpan w:val="2"/>
          </w:tcPr>
          <w:p w:rsidR="00691343" w:rsidRPr="001E796E" w:rsidRDefault="00691343" w:rsidP="00691343">
            <w:pPr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:rsidR="00694E29" w:rsidRPr="001E796E" w:rsidRDefault="00694E29">
      <w:pPr>
        <w:rPr>
          <w:rFonts w:ascii="Arial" w:hAnsi="Arial" w:cs="Arial"/>
          <w:sz w:val="22"/>
          <w:szCs w:val="22"/>
        </w:rPr>
      </w:pPr>
    </w:p>
    <w:sectPr w:rsidR="00694E29" w:rsidRPr="001E796E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23C1"/>
    <w:multiLevelType w:val="hybridMultilevel"/>
    <w:tmpl w:val="B8BA28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3397A"/>
    <w:multiLevelType w:val="hybridMultilevel"/>
    <w:tmpl w:val="6F860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87B8F"/>
    <w:multiLevelType w:val="multilevel"/>
    <w:tmpl w:val="BFA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10D"/>
    <w:multiLevelType w:val="hybridMultilevel"/>
    <w:tmpl w:val="4322C8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B6C4C"/>
    <w:multiLevelType w:val="hybridMultilevel"/>
    <w:tmpl w:val="A34AD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84C28"/>
    <w:multiLevelType w:val="hybridMultilevel"/>
    <w:tmpl w:val="3544F5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B2A43"/>
    <w:multiLevelType w:val="multilevel"/>
    <w:tmpl w:val="EB9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9E11DF"/>
    <w:multiLevelType w:val="multilevel"/>
    <w:tmpl w:val="BA7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F7526"/>
    <w:multiLevelType w:val="hybridMultilevel"/>
    <w:tmpl w:val="017C2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D4E82"/>
    <w:multiLevelType w:val="multilevel"/>
    <w:tmpl w:val="08BA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14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91"/>
    <w:rsid w:val="0000461C"/>
    <w:rsid w:val="00016F2D"/>
    <w:rsid w:val="00062AD3"/>
    <w:rsid w:val="00075B70"/>
    <w:rsid w:val="0007798D"/>
    <w:rsid w:val="00083491"/>
    <w:rsid w:val="000F21AA"/>
    <w:rsid w:val="001211DC"/>
    <w:rsid w:val="00130370"/>
    <w:rsid w:val="0013737E"/>
    <w:rsid w:val="001B4B22"/>
    <w:rsid w:val="001C6487"/>
    <w:rsid w:val="001C7F5C"/>
    <w:rsid w:val="001E796E"/>
    <w:rsid w:val="002026F6"/>
    <w:rsid w:val="00215B45"/>
    <w:rsid w:val="002B6A00"/>
    <w:rsid w:val="002D44B0"/>
    <w:rsid w:val="002E4AC1"/>
    <w:rsid w:val="00303D01"/>
    <w:rsid w:val="00315076"/>
    <w:rsid w:val="003303B1"/>
    <w:rsid w:val="00343923"/>
    <w:rsid w:val="00345C04"/>
    <w:rsid w:val="003849D5"/>
    <w:rsid w:val="003E4BF7"/>
    <w:rsid w:val="003F37F3"/>
    <w:rsid w:val="004A5EF6"/>
    <w:rsid w:val="00500FE6"/>
    <w:rsid w:val="00504C88"/>
    <w:rsid w:val="00532D43"/>
    <w:rsid w:val="00562696"/>
    <w:rsid w:val="005B1781"/>
    <w:rsid w:val="005D2FF2"/>
    <w:rsid w:val="006068F3"/>
    <w:rsid w:val="00606CB9"/>
    <w:rsid w:val="006161B2"/>
    <w:rsid w:val="00625DA3"/>
    <w:rsid w:val="00634B99"/>
    <w:rsid w:val="00641208"/>
    <w:rsid w:val="00691343"/>
    <w:rsid w:val="00694E29"/>
    <w:rsid w:val="006E5165"/>
    <w:rsid w:val="00735171"/>
    <w:rsid w:val="007527E6"/>
    <w:rsid w:val="00752F93"/>
    <w:rsid w:val="007A5278"/>
    <w:rsid w:val="007C7841"/>
    <w:rsid w:val="007E70AC"/>
    <w:rsid w:val="007F04A3"/>
    <w:rsid w:val="00824094"/>
    <w:rsid w:val="008312AB"/>
    <w:rsid w:val="00863023"/>
    <w:rsid w:val="00864960"/>
    <w:rsid w:val="008B20BC"/>
    <w:rsid w:val="008C2231"/>
    <w:rsid w:val="008D653C"/>
    <w:rsid w:val="008E112F"/>
    <w:rsid w:val="00914EC1"/>
    <w:rsid w:val="009449BE"/>
    <w:rsid w:val="009559D4"/>
    <w:rsid w:val="009F2958"/>
    <w:rsid w:val="009F79C8"/>
    <w:rsid w:val="00A109C3"/>
    <w:rsid w:val="00A24609"/>
    <w:rsid w:val="00A34C4E"/>
    <w:rsid w:val="00A72807"/>
    <w:rsid w:val="00AA5EDE"/>
    <w:rsid w:val="00AD7159"/>
    <w:rsid w:val="00AE0A43"/>
    <w:rsid w:val="00AE6763"/>
    <w:rsid w:val="00B34E7A"/>
    <w:rsid w:val="00B37DF7"/>
    <w:rsid w:val="00B41B5D"/>
    <w:rsid w:val="00B508D4"/>
    <w:rsid w:val="00BB17F5"/>
    <w:rsid w:val="00BE76CE"/>
    <w:rsid w:val="00BF0E24"/>
    <w:rsid w:val="00C02A2B"/>
    <w:rsid w:val="00C5004F"/>
    <w:rsid w:val="00C93E34"/>
    <w:rsid w:val="00CA4EDD"/>
    <w:rsid w:val="00CE51DB"/>
    <w:rsid w:val="00CF390A"/>
    <w:rsid w:val="00CF6537"/>
    <w:rsid w:val="00D30C12"/>
    <w:rsid w:val="00D51AE4"/>
    <w:rsid w:val="00D51DED"/>
    <w:rsid w:val="00D73242"/>
    <w:rsid w:val="00D84F96"/>
    <w:rsid w:val="00DB2E82"/>
    <w:rsid w:val="00DB5A85"/>
    <w:rsid w:val="00DE2EAE"/>
    <w:rsid w:val="00DE675C"/>
    <w:rsid w:val="00E52A81"/>
    <w:rsid w:val="00E77C34"/>
    <w:rsid w:val="00E93F7B"/>
    <w:rsid w:val="00EC1EB0"/>
    <w:rsid w:val="00ED023E"/>
    <w:rsid w:val="00EF46DE"/>
    <w:rsid w:val="00F54B25"/>
    <w:rsid w:val="00FA7B5B"/>
    <w:rsid w:val="00FF0DBE"/>
    <w:rsid w:val="00FF1D4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05FE6-AD32-41FE-BB30-A19FE77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erdy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FCF785-C20E-406C-8CF7-8ADE936A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Thiraporn</dc:creator>
  <cp:lastModifiedBy>Thira Jer.D Chu</cp:lastModifiedBy>
  <cp:revision>18</cp:revision>
  <dcterms:created xsi:type="dcterms:W3CDTF">2015-06-07T14:33:00Z</dcterms:created>
  <dcterms:modified xsi:type="dcterms:W3CDTF">2016-07-25T16:08:00Z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