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" w:afterAutospacing="1" w:line="240" w:lineRule="auto"/>
        <w:ind/>
        <w:jc w:val="both"/>
        <w:outlineLvl w:val="0"/>
        <w:rPr>
          <w:rFonts w:ascii="Arial" w:hAnsi="Arial" w:cs="Arial"/>
          <w:b/>
          <w:bCs/>
          <w:sz w:val="48"/>
          <w:szCs w:val="48"/>
          <w14:ligatures w14:val="none"/>
        </w:rPr>
      </w:pPr>
      <w:r>
        <w:rPr>
          <w:rFonts w:ascii="Arial" w:hAnsi="Arial" w:eastAsia="Arial" w:cs="Arial"/>
          <w:b/>
          <w:bCs/>
          <w:sz w:val="48"/>
          <w:szCs w:val="48"/>
          <w14:ligatures w14:val="none"/>
        </w:rPr>
        <w:t xml:space="preserve">ТӨСЛИЙН ҮНДЭСЛЭЛ, ШААРДЛАГА ТОДОРХОЙЛОХ БАРИМТ БИЧИГ</w:t>
      </w:r>
      <w:r>
        <w:rPr>
          <w:rFonts w:ascii="Arial" w:hAnsi="Arial" w:eastAsia="Arial" w:cs="Arial"/>
          <w:b/>
          <w:bCs/>
          <w:sz w:val="48"/>
          <w:szCs w:val="48"/>
          <w14:ligatures w14:val="none"/>
        </w:rPr>
      </w:r>
      <w:r>
        <w:rPr>
          <w:rFonts w:ascii="Arial" w:hAnsi="Arial" w:cs="Arial"/>
          <w:b/>
          <w:bCs/>
          <w:sz w:val="48"/>
          <w:szCs w:val="48"/>
          <w14:ligatures w14:val="none"/>
        </w:rPr>
      </w:r>
    </w:p>
    <w:p>
      <w:p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Огноо:</w:t>
      </w:r>
      <w:r>
        <w:rPr>
          <w:rFonts w:ascii="Arial" w:hAnsi="Arial" w:eastAsia="Arial" w:cs="Arial"/>
          <w14:ligatures w14:val="none"/>
        </w:rPr>
        <w:t xml:space="preserve"> 202</w:t>
      </w:r>
      <w:r>
        <w:rPr>
          <w:rFonts w:ascii="Arial" w:hAnsi="Arial" w:eastAsia="Arial" w:cs="Arial"/>
          <w14:ligatures w14:val="none"/>
        </w:rPr>
        <w:t xml:space="preserve">6</w:t>
      </w:r>
      <w:r>
        <w:rPr>
          <w:rFonts w:ascii="Arial" w:hAnsi="Arial" w:eastAsia="Arial" w:cs="Arial"/>
          <w14:ligatures w14:val="none"/>
        </w:rPr>
        <w:t xml:space="preserve"> оны 0</w:t>
      </w:r>
      <w:r>
        <w:rPr>
          <w:rFonts w:ascii="Arial" w:hAnsi="Arial" w:eastAsia="Arial" w:cs="Arial"/>
          <w14:ligatures w14:val="none"/>
        </w:rPr>
        <w:t xml:space="preserve">2</w:t>
      </w:r>
      <w:r>
        <w:rPr>
          <w:rFonts w:ascii="Arial" w:hAnsi="Arial" w:eastAsia="Arial" w:cs="Arial"/>
          <w14:ligatures w14:val="none"/>
        </w:rPr>
        <w:t xml:space="preserve">-р сарын </w:t>
      </w:r>
      <w:r>
        <w:rPr>
          <w:rFonts w:ascii="Arial" w:hAnsi="Arial" w:eastAsia="Arial" w:cs="Arial"/>
          <w14:ligatures w14:val="none"/>
        </w:rPr>
        <w:t xml:space="preserve">10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Төслийн нэр:</w:t>
      </w:r>
      <w:r>
        <w:rPr>
          <w:rFonts w:ascii="Arial" w:hAnsi="Arial" w:eastAsia="Arial" w:cs="Arial"/>
          <w14:ligatures w14:val="none"/>
        </w:rPr>
        <w:t xml:space="preserve"> StudentSync (Оюутны цаг төлөвлөлтийн систем)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Хэрэгжүүлэх хугацаа:</w:t>
      </w:r>
      <w:r>
        <w:rPr>
          <w:rFonts w:ascii="Arial" w:hAnsi="Arial" w:eastAsia="Arial" w:cs="Arial"/>
          <w14:ligatures w14:val="none"/>
        </w:rPr>
        <w:t xml:space="preserve"> 3 сар (12 долоо хоног)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0" w:line="36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"/>
                <wp:effectExtent l="0" t="0" r="0" b="0"/>
                <wp:docPr id="1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68.0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360" w:lineRule="auto"/>
        <w:ind/>
        <w:jc w:val="both"/>
        <w:outlineLvl w:val="2"/>
        <w:rPr>
          <w:rFonts w:ascii="Arial" w:hAnsi="Arial" w:cs="Arial"/>
          <w:b/>
          <w:bCs/>
          <w:sz w:val="27"/>
          <w:szCs w:val="27"/>
          <w14:ligatures w14:val="none"/>
        </w:rPr>
      </w:pPr>
      <w:r>
        <w:rPr>
          <w:rFonts w:ascii="Arial" w:hAnsi="Arial" w:eastAsia="Arial" w:cs="Arial"/>
          <w:b/>
          <w:bCs/>
          <w:sz w:val="27"/>
          <w:szCs w:val="27"/>
          <w14:ligatures w14:val="none"/>
        </w:rPr>
        <w:t xml:space="preserve">1. ТӨСЛИЙН ЕРӨНХИЙ ТӨСӨӨЛӨЛ</w:t>
      </w:r>
      <w:r>
        <w:rPr>
          <w:rFonts w:ascii="Arial" w:hAnsi="Arial" w:eastAsia="Arial" w:cs="Arial"/>
          <w:b/>
          <w:bCs/>
          <w:sz w:val="27"/>
          <w:szCs w:val="27"/>
          <w14:ligatures w14:val="none"/>
        </w:rPr>
      </w:r>
      <w:r>
        <w:rPr>
          <w:rFonts w:ascii="Arial" w:hAnsi="Arial" w:cs="Arial"/>
          <w:b/>
          <w:bCs/>
          <w:sz w:val="27"/>
          <w:szCs w:val="27"/>
          <w14:ligatures w14:val="none"/>
        </w:rPr>
      </w:r>
    </w:p>
    <w:p>
      <w:pPr>
        <w:pBdr/>
        <w:spacing w:after="100" w:afterAutospacing="1" w:line="240" w:lineRule="auto"/>
        <w:ind/>
        <w:jc w:val="both"/>
        <w:outlineLvl w:val="3"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1.1 ПХ-ын нэр:</w:t>
      </w: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StudentSync</w:t>
      </w:r>
      <w:r>
        <w:rPr>
          <w:rFonts w:ascii="Arial" w:hAnsi="Arial" w:eastAsia="Arial" w:cs="Arial"/>
          <w14:ligatures w14:val="none"/>
        </w:rPr>
        <w:t xml:space="preserve"> – Оюутнуудын хичээлийн хуваарьт суурилсан чөлөөт цагийн давхцал тооцоолох систем.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240" w:lineRule="auto"/>
        <w:ind/>
        <w:jc w:val="both"/>
        <w:outlineLvl w:val="3"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1.2 ПХ-ын зориулалт:</w:t>
      </w: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14:ligatures w14:val="none"/>
        </w:rPr>
        <w:t xml:space="preserve">Энэхүү программ хангамж нь оюутнуудын хичээлийн цагийн хуваарийг нэгтгэн шинжилж, бүлгээр ажиллах болон чөлөөт цагаа өнгөрүүлэх боломжтой "</w:t>
      </w:r>
      <w:r>
        <w:rPr>
          <w:rFonts w:ascii="Arial" w:hAnsi="Arial" w:eastAsia="Arial" w:cs="Arial"/>
          <w14:ligatures w14:val="none"/>
        </w:rPr>
        <w:t xml:space="preserve">цонхтой</w:t>
      </w:r>
      <w:r>
        <w:rPr>
          <w:rFonts w:ascii="Arial" w:hAnsi="Arial" w:eastAsia="Arial" w:cs="Arial"/>
          <w14:ligatures w14:val="none"/>
        </w:rPr>
        <w:t xml:space="preserve"> цаг"-уудыг автоматаар тодорхойлох зорилготой. Хэрэглэгч өөрийн хуваарийг оруулснаар системийн бусад хэрэглэгчидтэй (найзууд, багийн гишүүд) цагаа тулгах, </w:t>
      </w:r>
      <w:r>
        <w:rPr>
          <w:rFonts w:ascii="Arial" w:hAnsi="Arial" w:eastAsia="Arial" w:cs="Arial"/>
          <w14:ligatures w14:val="none"/>
        </w:rPr>
        <w:t xml:space="preserve">бүлэг хүмүүс дунд </w:t>
      </w:r>
      <w:r>
        <w:rPr>
          <w:rFonts w:ascii="Arial" w:hAnsi="Arial" w:eastAsia="Arial" w:cs="Arial"/>
          <w14:ligatures w14:val="none"/>
        </w:rPr>
        <w:t xml:space="preserve">хамгийн олон хүн завтай байх үеийг харах боломжийг олгоно.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240" w:lineRule="auto"/>
        <w:ind/>
        <w:jc w:val="both"/>
        <w:outlineLvl w:val="3"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1.3 ПХ-ын зорилтод хэрэглэгч:</w:t>
      </w: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numPr>
          <w:ilvl w:val="0"/>
          <w:numId w:val="1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Их, дээд сургуулийн оюутнууд:</w:t>
      </w:r>
      <w:r>
        <w:rPr>
          <w:rFonts w:ascii="Arial" w:hAnsi="Arial" w:eastAsia="Arial" w:cs="Arial"/>
          <w14:ligatures w14:val="none"/>
        </w:rPr>
        <w:t xml:space="preserve"> Өдөр тутмын хичээлийн хуваарь болон бие даалт, багаар ажиллах цагаа төлөвлөх шаардлагатай залуус.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numPr>
          <w:ilvl w:val="0"/>
          <w:numId w:val="1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Оюутны клуб, зөвлөлийн гишүүд:</w:t>
      </w:r>
      <w:r>
        <w:rPr>
          <w:rFonts w:ascii="Arial" w:hAnsi="Arial" w:eastAsia="Arial" w:cs="Arial"/>
          <w14:ligatures w14:val="none"/>
        </w:rPr>
        <w:t xml:space="preserve"> Нийтийн арга хэмжээ, уулзалт товлоход гишүүдийн ирций</w:t>
      </w:r>
      <w:r>
        <w:rPr>
          <w:rFonts w:ascii="Arial" w:hAnsi="Arial" w:eastAsia="Arial" w:cs="Arial"/>
          <w14:ligatures w14:val="none"/>
        </w:rPr>
        <w:t xml:space="preserve">н хувийг ихэсгэх </w:t>
      </w:r>
      <w:r>
        <w:rPr>
          <w:rFonts w:ascii="Arial" w:hAnsi="Arial" w:eastAsia="Arial" w:cs="Arial"/>
          <w14:ligatures w14:val="none"/>
        </w:rPr>
        <w:t xml:space="preserve">з</w:t>
      </w:r>
      <w:r>
        <w:rPr>
          <w:rFonts w:ascii="Arial" w:hAnsi="Arial" w:eastAsia="Arial" w:cs="Arial"/>
          <w14:ligatures w14:val="none"/>
        </w:rPr>
        <w:t xml:space="preserve">орилгоор ашиглана</w:t>
      </w:r>
      <w:r>
        <w:rPr>
          <w:rFonts w:ascii="Arial" w:hAnsi="Arial" w:eastAsia="Arial" w:cs="Arial"/>
          <w14:ligatures w14:val="none"/>
        </w:rPr>
        <w:t xml:space="preserve">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numPr>
          <w:ilvl w:val="0"/>
          <w:numId w:val="1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Багийн ахлагч нар:</w:t>
      </w:r>
      <w:r>
        <w:rPr>
          <w:rFonts w:ascii="Arial" w:hAnsi="Arial" w:eastAsia="Arial" w:cs="Arial"/>
          <w14:ligatures w14:val="none"/>
        </w:rPr>
        <w:t xml:space="preserve"> Төслийн ажлын явцыг хэлэлцэх уулзалтын цагийг гар аргаар бус системээр хурдан товлох </w:t>
      </w:r>
      <w:r>
        <w:rPr>
          <w:rFonts w:ascii="Arial" w:hAnsi="Arial" w:eastAsia="Arial" w:cs="Arial"/>
          <w14:ligatures w14:val="none"/>
        </w:rPr>
        <w:t xml:space="preserve">боломжийг нээж өгнө</w:t>
      </w:r>
      <w:r>
        <w:rPr>
          <w:rFonts w:ascii="Arial" w:hAnsi="Arial" w:eastAsia="Arial" w:cs="Arial"/>
          <w14:ligatures w14:val="none"/>
        </w:rPr>
        <w:t xml:space="preserve">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240" w:lineRule="auto"/>
        <w:ind/>
        <w:jc w:val="both"/>
        <w:outlineLvl w:val="3"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1.4 ПХ-ыг ашигласнаар үүсэх ач холбогдол:</w:t>
      </w: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numPr>
          <w:ilvl w:val="0"/>
          <w:numId w:val="2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Үр ашигтай төлөвлөлт:</w:t>
      </w:r>
      <w:r>
        <w:rPr>
          <w:rFonts w:ascii="Arial" w:hAnsi="Arial" w:eastAsia="Arial" w:cs="Arial"/>
          <w14:ligatures w14:val="none"/>
        </w:rPr>
        <w:t xml:space="preserve"> Хүн бүрээс завтай цагийг нь асууж, нэг бүрчлэн тулгах механик ажиллагааг үгүй болгож, цаг хугацааг 80% хүртэл хэмнэнэ.</w:t>
      </w:r>
      <w:r>
        <w:rPr>
          <w:rFonts w:ascii="Arial" w:hAnsi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numPr>
          <w:ilvl w:val="0"/>
          <w:numId w:val="2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Багийн ажиллагааны идэвхжүүлэлт:</w:t>
      </w:r>
      <w:r>
        <w:rPr>
          <w:rFonts w:ascii="Arial" w:hAnsi="Arial" w:eastAsia="Arial" w:cs="Arial"/>
          <w14:ligatures w14:val="none"/>
        </w:rPr>
        <w:t xml:space="preserve"> Уулзалт товлоход гардаг үл ойлголцол, хоцролт, цаг зөрөлтийг багасгана.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numPr>
          <w:ilvl w:val="0"/>
          <w:numId w:val="2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Хэрэглэгчийн туршлага (UX):</w:t>
      </w:r>
      <w:r>
        <w:rPr>
          <w:rFonts w:ascii="Arial" w:hAnsi="Arial" w:eastAsia="Arial" w:cs="Arial"/>
          <w14:ligatures w14:val="none"/>
        </w:rPr>
        <w:t xml:space="preserve"> Энгийн, ойлгомжтой интерфэйсээр дамжуулан оюутнууд бие биенийхээ завтай цагийг нэг дороос харах боломж бүрдэнэ.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"/>
                <wp:effectExtent l="0" t="0" r="0" b="0"/>
                <wp:docPr id="2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68.0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240" w:lineRule="auto"/>
        <w:ind/>
        <w:jc w:val="both"/>
        <w:outlineLvl w:val="2"/>
        <w:rPr>
          <w:rFonts w:ascii="Arial" w:hAnsi="Arial" w:cs="Arial"/>
          <w:b/>
          <w:bCs/>
          <w:sz w:val="27"/>
          <w:szCs w:val="27"/>
          <w14:ligatures w14:val="none"/>
        </w:rPr>
      </w:pPr>
      <w:r>
        <w:rPr>
          <w:rFonts w:ascii="Arial" w:hAnsi="Arial" w:eastAsia="Arial" w:cs="Arial"/>
          <w:b/>
          <w:bCs/>
          <w:sz w:val="27"/>
          <w:szCs w:val="27"/>
          <w14:ligatures w14:val="none"/>
        </w:rPr>
        <w:t xml:space="preserve">2. ШААРДЛАГА ЦУГЛУУЛАХ ЭХ СУРВАЛЖИЙН ЖАГСААЛТ</w:t>
      </w:r>
      <w:r>
        <w:rPr>
          <w:rFonts w:ascii="Arial" w:hAnsi="Arial" w:eastAsia="Arial" w:cs="Arial"/>
          <w:b/>
          <w:bCs/>
          <w:sz w:val="27"/>
          <w:szCs w:val="27"/>
          <w14:ligatures w14:val="none"/>
        </w:rPr>
      </w:r>
      <w:r>
        <w:rPr>
          <w:rFonts w:ascii="Arial" w:hAnsi="Arial" w:cs="Arial"/>
          <w:b/>
          <w:bCs/>
          <w:sz w:val="27"/>
          <w:szCs w:val="27"/>
          <w14:ligatures w14:val="none"/>
        </w:rPr>
      </w:r>
    </w:p>
    <w:p>
      <w:p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14:ligatures w14:val="none"/>
        </w:rPr>
        <w:t xml:space="preserve">Төслийг амжилттай хэрэгжүүлэхэд шаардлагатай функц болон техникийн шаардлагуудыг дараах эх сурвалжуудаас нэгтгэнэ.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240" w:lineRule="auto"/>
        <w:ind/>
        <w:jc w:val="both"/>
        <w:outlineLvl w:val="3"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2.1 Ижил төстэй программ хангамжууд:</w:t>
      </w: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cs="Arial"/>
          <w:b/>
          <w:bCs/>
          <w14:ligatures w14:val="none"/>
        </w:rPr>
      </w:r>
    </w:p>
    <w:tbl>
      <w:tblPr>
        <w:tblW w:w="0" w:type="auto"/>
        <w:tblCellMar>
          <w:left w:w="0" w:type="dxa"/>
          <w:right w:w="0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1830"/>
        <w:gridCol w:w="2186"/>
        <w:gridCol w:w="2498"/>
        <w:gridCol w:w="2830"/>
      </w:tblGrid>
      <w:tr>
        <w:trPr>
          <w:tblCellSpacing w:w="15" w:type="dxa"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14:ligatures w14:val="none"/>
              </w:rPr>
              <w:t xml:space="preserve">Системийн нэр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14:ligatures w14:val="none"/>
              </w:rPr>
              <w:t xml:space="preserve">Ижил тал (Similarities)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14:ligatures w14:val="none"/>
              </w:rPr>
              <w:t xml:space="preserve">Ялгаатай тал (Differences)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14:ligatures w14:val="none"/>
              </w:rPr>
              <w:t xml:space="preserve">StudentSync-ийн давуу тал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14:ligatures w14:val="none"/>
              </w:rPr>
              <w:t xml:space="preserve">When2meet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Цагийн давхцал хардаг, энгийн grid ашигладаг.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Бүртгэл шаарддаггүй, өгөгдөл нь түр зуурын шинжтэй.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Байнгын бүлэг (Group) үүсгэх, хичээлийн хуваарийг хадгалах боломжтой.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14:ligatures w14:val="none"/>
              </w:rPr>
              <w:t xml:space="preserve">Doodle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Уулзалт товлох санал асуулга явуулдаг.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Тодорхой цаг сонгож санал өгдөг, автомат давхцал тооцохгүй.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Санал асуулга бөглөх шаардлагагүй, оруулсан хуваарь дээр үндэслэн шууд үр дүнг харуулна.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14:ligatures w14:val="none"/>
              </w:rPr>
              <w:t xml:space="preserve">Google Calendar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Хуваарь бүртгэдэг, бусадтай хуваалцдаг.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Маш олон нэмэлт функцтэй, зөвхөн "Common free time" харахад төвөгтэй.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Arial" w:hAnsi="Arial" w:cs="Arial"/>
                <w:color w:val="1f1f1f"/>
                <w14:ligatures w14:val="none"/>
              </w:rPr>
            </w:pPr>
            <w:r>
              <w:rPr>
                <w:rFonts w:ascii="Arial" w:hAnsi="Arial" w:eastAsia="Arial" w:cs="Arial"/>
                <w:color w:val="1f1f1f"/>
                <w14:ligatures w14:val="none"/>
              </w:rPr>
              <w:t xml:space="preserve">Зөвхөн оюутны хичээлийн хуваарь болон багийн ажлын давхцалд төвлөрсөн, маш хялбар UX.</w:t>
            </w:r>
            <w:r>
              <w:rPr>
                <w:rFonts w:ascii="Arial" w:hAnsi="Arial" w:eastAsia="Arial" w:cs="Arial"/>
                <w:color w:val="1f1f1f"/>
                <w14:ligatures w14:val="none"/>
              </w:rPr>
            </w:r>
            <w:r>
              <w:rPr>
                <w:rFonts w:ascii="Arial" w:hAnsi="Arial" w:cs="Arial"/>
                <w:color w:val="1f1f1f"/>
                <w14:ligatures w14:val="none"/>
              </w:rPr>
            </w:r>
          </w:p>
        </w:tc>
      </w:tr>
    </w:tbl>
    <w:p>
      <w:pPr>
        <w:pBdr/>
        <w:spacing w:after="100" w:afterAutospacing="1" w:line="240" w:lineRule="auto"/>
        <w:ind/>
        <w:jc w:val="both"/>
        <w:outlineLvl w:val="3"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pBdr/>
        <w:spacing w:after="100" w:afterAutospacing="1" w:line="240" w:lineRule="auto"/>
        <w:ind/>
        <w:jc w:val="both"/>
        <w:outlineLvl w:val="3"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2.2 Хэрэглэгч болон сонирхлын бүлгүүд:</w:t>
      </w: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numPr>
          <w:ilvl w:val="0"/>
          <w:numId w:val="4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Ганцаарчилсан ярилцлага:</w:t>
      </w:r>
      <w:r>
        <w:rPr>
          <w:rFonts w:ascii="Arial" w:hAnsi="Arial" w:eastAsia="Arial" w:cs="Arial"/>
          <w14:ligatures w14:val="none"/>
        </w:rPr>
        <w:t xml:space="preserve"> Оюутнуудаас хичээлийн хуваарь хөтлөхөд тулгардаг бэрхшээлийн талаар мэдээлэл авах.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numPr>
          <w:ilvl w:val="0"/>
          <w:numId w:val="4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Фокус бүлгийн хэлэлцүүлэг:</w:t>
      </w:r>
      <w:r>
        <w:rPr>
          <w:rFonts w:ascii="Arial" w:hAnsi="Arial" w:eastAsia="Arial" w:cs="Arial"/>
          <w14:ligatures w14:val="none"/>
        </w:rPr>
        <w:t xml:space="preserve"> Багаар ажилладаг 4-5 оюутны дунд "Хэрхэн уулзах цагаа товлодог вэ?" сэдвээр хэлэлцүүлэг өрнүүлж, хэрэгцээг тодорхойлох.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Bdr/>
        <w:spacing w:after="100" w:afterAutospacing="1" w:line="240" w:lineRule="auto"/>
        <w:ind/>
        <w:jc w:val="both"/>
        <w:outlineLvl w:val="3"/>
        <w:rPr>
          <w:rFonts w:ascii="Arial" w:hAnsi="Arial" w:cs="Arial"/>
          <w:b/>
          <w:bCs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2.3 Холбогдох баримт материалын жагсаалт:</w:t>
      </w:r>
      <w:r>
        <w:rPr>
          <w:rFonts w:ascii="Arial" w:hAnsi="Arial" w:eastAsia="Arial" w:cs="Arial"/>
          <w:b/>
          <w:bCs/>
          <w14:ligatures w14:val="none"/>
        </w:rPr>
      </w:r>
      <w:r>
        <w:rPr>
          <w:rFonts w:ascii="Arial" w:hAnsi="Arial" w:cs="Arial"/>
          <w:b/>
          <w:bCs/>
          <w14:ligatures w14:val="none"/>
        </w:rPr>
      </w:r>
    </w:p>
    <w:p>
      <w:pPr>
        <w:numPr>
          <w:ilvl w:val="0"/>
          <w:numId w:val="5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Их сургуулийн хичээлийн цагийн стандарт хуваарь:</w:t>
      </w:r>
      <w:r>
        <w:rPr>
          <w:rFonts w:ascii="Arial" w:hAnsi="Arial" w:eastAsia="Arial" w:cs="Arial"/>
          <w14:ligatures w14:val="none"/>
        </w:rPr>
        <w:t xml:space="preserve"> Цагийн интервалуудыг системд тогтмол утгаар оруулахад ашиглана.</w:t>
      </w:r>
      <w:r>
        <w:rPr>
          <w:rFonts w:ascii="Arial" w:hAnsi="Arial" w:eastAsia="Arial" w:cs="Arial"/>
          <w:lang w:val="en-US"/>
          <w14:ligatures w14:val="none"/>
        </w:rPr>
        <w:t xml:space="preserve">(</w:t>
      </w:r>
      <w:r>
        <w:rPr>
          <w:rFonts w:ascii="Arial" w:hAnsi="Arial" w:eastAsia="Arial" w:cs="Arial"/>
          <w:lang w:val="mn-MN"/>
          <w14:ligatures w14:val="none"/>
        </w:rPr>
        <w:t xml:space="preserve">Sisi</w:t>
      </w:r>
      <w:r>
        <w:rPr>
          <w:rFonts w:ascii="Arial" w:hAnsi="Arial" w:eastAsia="Arial" w:cs="Arial"/>
          <w:lang w:val="en-US"/>
          <w14:ligatures w14:val="none"/>
        </w:rPr>
        <w:t xml:space="preserve">: </w:t>
      </w:r>
      <w:r>
        <w:rPr>
          <w:rFonts w:ascii="Arial" w:hAnsi="Arial" w:eastAsia="Arial" w:cs="Arial"/>
          <w:lang w:val="mn-MN"/>
          <w14:ligatures w14:val="none"/>
        </w:rPr>
        <w:t xml:space="preserve">хичээл хоорондоо 10 минутийн завсартай</w:t>
      </w:r>
      <w:r>
        <w:rPr>
          <w:rFonts w:ascii="Arial" w:hAnsi="Arial" w:eastAsia="Arial" w:cs="Arial"/>
          <w:lang w:val="en-US"/>
          <w14:ligatures w14:val="none"/>
        </w:rPr>
        <w:t xml:space="preserve">)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numPr>
          <w:ilvl w:val="0"/>
          <w:numId w:val="5"/>
        </w:numPr>
        <w:pBdr/>
        <w:spacing w:after="100" w:afterAutospacing="1" w:line="24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  <w14:ligatures w14:val="none"/>
        </w:rPr>
        <w:t xml:space="preserve">UI/UX Дизайны гарын авлага:</w:t>
      </w:r>
      <w:r>
        <w:rPr>
          <w:rFonts w:ascii="Arial" w:hAnsi="Arial" w:eastAsia="Arial" w:cs="Arial"/>
          <w14:ligatures w14:val="none"/>
        </w:rPr>
        <w:t xml:space="preserve"> Оюутнуудад зориулсан аппликейшны өнгө төрх, ашиглахад хялбар байдлыг тодорхойлох баримтууд.</w:t>
      </w:r>
      <w:r>
        <w:rPr>
          <w:rFonts w:ascii="Arial" w:hAnsi="Arial" w:eastAsia="Arial" w:cs="Arial"/>
          <w14:ligatures w14:val="none"/>
        </w:rPr>
        <w:t xml:space="preserve">(Documentation)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"/>
                <wp:effectExtent l="0" t="0" r="0" b="0"/>
                <wp:docPr id="3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63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755CC2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68.00pt;height:0.05pt;mso-wrap-distance-left:0.00pt;mso-wrap-distance-top:0.00pt;mso-wrap-distance-right:0.00pt;mso-wrap-distance-bottom:0.00pt;v-text-anchor:middle;visibility:visible;" fillcolor="#A0A0A0" stroked="f">
                <v:textbox inset="0,0,0,0">
                  <w:txbxContent>
                    <w:p w14:paraId="5F755CC2">
                      <w:pPr>
                        <w:pBdr/>
                        <w:spacing/>
                        <w:ind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cs="Arial"/>
          <w14:ligatures w14:val="none"/>
        </w:rPr>
      </w:r>
      <w:r>
        <w:rPr>
          <w:rFonts w:ascii="Arial" w:hAnsi="Arial" w:cs="Arial"/>
          <w14:ligatures w14:val="none"/>
        </w:rPr>
      </w:r>
    </w:p>
    <w:p>
      <w:pPr>
        <w:pStyle w:val="91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Тайлан бэлтгэсэн: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lang w:val="mn-MN"/>
        </w:rPr>
        <w:t xml:space="preserve">А.Баяржавхлан</w:t>
      </w:r>
      <w:r>
        <w:rPr>
          <w:rFonts w:ascii="Arial" w:hAnsi="Arial" w:eastAsia="Arial" w:cs="Arial"/>
          <w:lang w:val="en-US"/>
        </w:rPr>
        <w:t xml:space="preserve">(24B1NUM0876), </w:t>
      </w:r>
      <w:r>
        <w:rPr>
          <w:rFonts w:ascii="Arial" w:hAnsi="Arial" w:eastAsia="Arial" w:cs="Arial"/>
          <w:lang w:val="mn-MN"/>
        </w:rPr>
        <w:t xml:space="preserve">М.Наран</w:t>
      </w:r>
      <w:r>
        <w:rPr>
          <w:rFonts w:ascii="Arial" w:hAnsi="Arial" w:eastAsia="Arial" w:cs="Arial"/>
          <w:lang w:val="en-US"/>
        </w:rPr>
        <w:t xml:space="preserve">(24B1NUM0255)</w:t>
      </w:r>
      <w:r>
        <w:rPr>
          <w:rFonts w:ascii="Arial" w:hAnsi="Arial" w:eastAsia="Arial" w:cs="Arial"/>
          <w:lang w:val="en-US"/>
        </w:rPr>
      </w:r>
      <w:r>
        <w:rPr>
          <w:rFonts w:ascii="Arial" w:hAnsi="Arial" w:cs="Arial"/>
        </w:rPr>
      </w:r>
    </w:p>
    <w:p>
      <w:pPr>
        <w:pStyle w:val="910"/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Огноо:</w:t>
      </w:r>
      <w:r>
        <w:rPr>
          <w:rFonts w:ascii="Arial" w:hAnsi="Arial" w:eastAsia="Arial" w:cs="Arial"/>
        </w:rPr>
        <w:t xml:space="preserve"> 202</w:t>
      </w:r>
      <w:r>
        <w:rPr>
          <w:rFonts w:ascii="Arial" w:hAnsi="Arial" w:eastAsia="Arial" w:cs="Arial"/>
        </w:rPr>
        <w:t xml:space="preserve">6</w:t>
      </w:r>
      <w:r>
        <w:rPr>
          <w:rFonts w:ascii="Arial" w:hAnsi="Arial" w:eastAsia="Arial" w:cs="Arial"/>
        </w:rPr>
        <w:t xml:space="preserve">.0</w:t>
      </w:r>
      <w:r>
        <w:rPr>
          <w:rFonts w:ascii="Arial" w:hAnsi="Arial" w:eastAsia="Arial" w:cs="Arial"/>
        </w:rPr>
        <w:t xml:space="preserve">2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  <w:t xml:space="preserve">10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8775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6AE787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6FF06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9470C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47FF3B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66FA467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7A7F2B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7E0B4F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06AE787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8">
    <w:name w:val="No Spacing"/>
    <w:basedOn w:val="877"/>
    <w:uiPriority w:val="1"/>
    <w:qFormat/>
    <w:pPr>
      <w:pBdr/>
      <w:spacing w:after="0" w:line="240" w:lineRule="auto"/>
      <w:ind/>
    </w:pPr>
  </w:style>
  <w:style w:type="character" w:styleId="849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1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2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3">
    <w:name w:val="Header"/>
    <w:basedOn w:val="877"/>
    <w:link w:val="8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4">
    <w:name w:val="Header Char"/>
    <w:basedOn w:val="887"/>
    <w:link w:val="853"/>
    <w:uiPriority w:val="99"/>
    <w:pPr>
      <w:pBdr/>
      <w:spacing/>
      <w:ind/>
    </w:pPr>
  </w:style>
  <w:style w:type="paragraph" w:styleId="855">
    <w:name w:val="Footer"/>
    <w:basedOn w:val="877"/>
    <w:link w:val="8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6">
    <w:name w:val="Footer Char"/>
    <w:basedOn w:val="887"/>
    <w:link w:val="855"/>
    <w:uiPriority w:val="99"/>
    <w:pPr>
      <w:pBdr/>
      <w:spacing/>
      <w:ind/>
    </w:pPr>
  </w:style>
  <w:style w:type="paragraph" w:styleId="857">
    <w:name w:val="Caption"/>
    <w:basedOn w:val="877"/>
    <w:next w:val="8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8">
    <w:name w:val="footnote text"/>
    <w:basedOn w:val="877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Footnote Text Char"/>
    <w:basedOn w:val="887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1">
    <w:name w:val="endnote text"/>
    <w:basedOn w:val="877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Endnote Text Char"/>
    <w:basedOn w:val="887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64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5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7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8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9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70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1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2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3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4">
    <w:name w:val="toc 9"/>
    <w:basedOn w:val="877"/>
    <w:next w:val="877"/>
    <w:uiPriority w:val="39"/>
    <w:unhideWhenUsed/>
    <w:pPr>
      <w:pBdr/>
      <w:spacing w:after="100"/>
      <w:ind w:left="1760"/>
    </w:p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pBdr/>
      <w:spacing/>
      <w:ind/>
    </w:pPr>
  </w:style>
  <w:style w:type="paragraph" w:styleId="878">
    <w:name w:val="Heading 1"/>
    <w:basedOn w:val="877"/>
    <w:next w:val="877"/>
    <w:link w:val="89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9">
    <w:name w:val="Heading 2"/>
    <w:basedOn w:val="877"/>
    <w:next w:val="877"/>
    <w:link w:val="89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0">
    <w:name w:val="Heading 3"/>
    <w:basedOn w:val="877"/>
    <w:next w:val="877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1">
    <w:name w:val="Heading 4"/>
    <w:basedOn w:val="877"/>
    <w:next w:val="877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2">
    <w:name w:val="Heading 5"/>
    <w:basedOn w:val="877"/>
    <w:next w:val="877"/>
    <w:link w:val="8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3">
    <w:name w:val="Heading 6"/>
    <w:basedOn w:val="877"/>
    <w:next w:val="877"/>
    <w:link w:val="89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4">
    <w:name w:val="Heading 7"/>
    <w:basedOn w:val="877"/>
    <w:next w:val="877"/>
    <w:link w:val="89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5">
    <w:name w:val="Heading 8"/>
    <w:basedOn w:val="877"/>
    <w:next w:val="877"/>
    <w:link w:val="89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6">
    <w:name w:val="Heading 9"/>
    <w:basedOn w:val="877"/>
    <w:next w:val="877"/>
    <w:link w:val="89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character" w:styleId="890" w:customStyle="1">
    <w:name w:val="Heading 1 Char"/>
    <w:basedOn w:val="887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1" w:customStyle="1">
    <w:name w:val="Heading 2 Char"/>
    <w:basedOn w:val="887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2" w:customStyle="1">
    <w:name w:val="Heading 3 Char"/>
    <w:basedOn w:val="887"/>
    <w:link w:val="880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3" w:customStyle="1">
    <w:name w:val="Heading 4 Char"/>
    <w:basedOn w:val="887"/>
    <w:link w:val="881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4" w:customStyle="1">
    <w:name w:val="Heading 5 Char"/>
    <w:basedOn w:val="887"/>
    <w:link w:val="88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5" w:customStyle="1">
    <w:name w:val="Heading 6 Char"/>
    <w:basedOn w:val="887"/>
    <w:link w:val="88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6" w:customStyle="1">
    <w:name w:val="Heading 7 Char"/>
    <w:basedOn w:val="887"/>
    <w:link w:val="88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7" w:customStyle="1">
    <w:name w:val="Heading 8 Char"/>
    <w:basedOn w:val="887"/>
    <w:link w:val="88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8" w:customStyle="1">
    <w:name w:val="Heading 9 Char"/>
    <w:basedOn w:val="887"/>
    <w:link w:val="88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9">
    <w:name w:val="Title"/>
    <w:basedOn w:val="877"/>
    <w:next w:val="877"/>
    <w:link w:val="90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0" w:customStyle="1">
    <w:name w:val="Title Char"/>
    <w:basedOn w:val="887"/>
    <w:link w:val="89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1">
    <w:name w:val="Subtitle"/>
    <w:basedOn w:val="877"/>
    <w:next w:val="877"/>
    <w:link w:val="90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2" w:customStyle="1">
    <w:name w:val="Subtitle Char"/>
    <w:basedOn w:val="887"/>
    <w:link w:val="90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3">
    <w:name w:val="Quote"/>
    <w:basedOn w:val="877"/>
    <w:next w:val="877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 w:customStyle="1">
    <w:name w:val="Quote Char"/>
    <w:basedOn w:val="887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5">
    <w:name w:val="List Paragraph"/>
    <w:basedOn w:val="877"/>
    <w:uiPriority w:val="34"/>
    <w:qFormat/>
    <w:pPr>
      <w:pBdr/>
      <w:spacing/>
      <w:ind w:left="720"/>
      <w:contextualSpacing w:val="true"/>
    </w:pPr>
  </w:style>
  <w:style w:type="character" w:styleId="906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877"/>
    <w:next w:val="877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 w:customStyle="1">
    <w:name w:val="Intense Quote Char"/>
    <w:basedOn w:val="887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rmal (Web)"/>
    <w:basedOn w:val="877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14:ligatures w14:val="none"/>
    </w:rPr>
  </w:style>
  <w:style w:type="character" w:styleId="911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912" w:customStyle="1">
    <w:name w:val="math-inline"/>
    <w:basedOn w:val="887"/>
    <w:pPr>
      <w:pBdr/>
      <w:spacing/>
      <w:ind/>
    </w:pPr>
  </w:style>
  <w:style w:type="character" w:styleId="913">
    <w:name w:val="HTML Code"/>
    <w:basedOn w:val="88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14">
    <w:name w:val="Placeholder Text"/>
    <w:basedOn w:val="887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BAYARJAVKHLAN Ariunbold</dc:creator>
  <cp:keywords/>
  <dc:description/>
  <cp:revision>3</cp:revision>
  <dcterms:created xsi:type="dcterms:W3CDTF">2026-02-12T03:23:00Z</dcterms:created>
  <dcterms:modified xsi:type="dcterms:W3CDTF">2026-02-24T08:02:34Z</dcterms:modified>
</cp:coreProperties>
</file>