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93" w:rsidRPr="004B5193" w:rsidRDefault="004B5193" w:rsidP="004B5193">
      <w:pPr>
        <w:autoSpaceDE w:val="0"/>
        <w:autoSpaceDN w:val="0"/>
        <w:adjustRightInd w:val="0"/>
        <w:rPr>
          <w:b/>
          <w:lang w:val="en-US"/>
        </w:rPr>
      </w:pPr>
      <w:r w:rsidRPr="004B5193">
        <w:rPr>
          <w:b/>
          <w:lang w:val="en-US"/>
        </w:rPr>
        <w:t>Statistical analysis</w:t>
      </w:r>
    </w:p>
    <w:p w:rsidR="004B5193" w:rsidRDefault="004B5193" w:rsidP="004B5193">
      <w:pPr>
        <w:autoSpaceDE w:val="0"/>
        <w:autoSpaceDN w:val="0"/>
        <w:adjustRightInd w:val="0"/>
        <w:rPr>
          <w:rFonts w:ascii="AdvPSA88A" w:hAnsi="AdvPSA88A" w:cs="AdvPSA88A"/>
          <w:sz w:val="18"/>
          <w:szCs w:val="18"/>
          <w:lang w:val="en-US"/>
        </w:rPr>
      </w:pPr>
    </w:p>
    <w:p w:rsidR="004B5193" w:rsidRDefault="004B5193" w:rsidP="004B5193">
      <w:pPr>
        <w:autoSpaceDE w:val="0"/>
        <w:autoSpaceDN w:val="0"/>
        <w:adjustRightInd w:val="0"/>
        <w:rPr>
          <w:rFonts w:ascii="AdvPSA88A" w:hAnsi="AdvPSA88A" w:cs="AdvPSA88A"/>
          <w:sz w:val="18"/>
          <w:szCs w:val="18"/>
          <w:lang w:val="en-US"/>
        </w:rPr>
      </w:pPr>
      <w:r>
        <w:rPr>
          <w:rFonts w:ascii="AdvPSA88A" w:hAnsi="AdvPSA88A" w:cs="AdvPSA88A"/>
          <w:sz w:val="18"/>
          <w:szCs w:val="18"/>
          <w:lang w:val="en-US"/>
        </w:rPr>
        <w:t>S</w:t>
      </w:r>
      <w:r w:rsidRPr="004B5193">
        <w:rPr>
          <w:rFonts w:ascii="AdvPSA88A" w:hAnsi="AdvPSA88A" w:cs="AdvPSA88A"/>
          <w:sz w:val="18"/>
          <w:szCs w:val="18"/>
          <w:lang w:val="en-US"/>
        </w:rPr>
        <w:t>urvival curves for</w:t>
      </w:r>
      <w:r>
        <w:rPr>
          <w:rFonts w:ascii="AdvPSA88A" w:hAnsi="AdvPSA88A" w:cs="AdvPSA88A"/>
          <w:sz w:val="18"/>
          <w:szCs w:val="18"/>
          <w:lang w:val="en-US"/>
        </w:rPr>
        <w:t xml:space="preserve"> </w:t>
      </w:r>
      <w:r w:rsidRPr="004B5193">
        <w:rPr>
          <w:rFonts w:ascii="AdvPSA88A" w:hAnsi="AdvPSA88A" w:cs="AdvPSA88A"/>
          <w:sz w:val="18"/>
          <w:szCs w:val="18"/>
          <w:lang w:val="en-US"/>
        </w:rPr>
        <w:t>time to progression (TTP)</w:t>
      </w:r>
      <w:r>
        <w:rPr>
          <w:rFonts w:ascii="AdvPSA88A" w:hAnsi="AdvPSA88A" w:cs="AdvPSA88A"/>
          <w:sz w:val="18"/>
          <w:szCs w:val="18"/>
          <w:lang w:val="en-US"/>
        </w:rPr>
        <w:t xml:space="preserve"> and overall survival (OS) </w:t>
      </w:r>
      <w:proofErr w:type="gramStart"/>
      <w:r>
        <w:rPr>
          <w:rFonts w:ascii="AdvPSA88A" w:hAnsi="AdvPSA88A" w:cs="AdvPSA88A"/>
          <w:sz w:val="18"/>
          <w:szCs w:val="18"/>
          <w:lang w:val="en-US"/>
        </w:rPr>
        <w:t>were produced</w:t>
      </w:r>
      <w:proofErr w:type="gramEnd"/>
      <w:r>
        <w:rPr>
          <w:rFonts w:ascii="AdvPSA88A" w:hAnsi="AdvPSA88A" w:cs="AdvPSA88A"/>
          <w:sz w:val="18"/>
          <w:szCs w:val="18"/>
          <w:lang w:val="en-US"/>
        </w:rPr>
        <w:t xml:space="preserve"> using the Kaplan-Meier method.</w:t>
      </w:r>
    </w:p>
    <w:p w:rsidR="004B5193" w:rsidRPr="004B5193" w:rsidRDefault="004B5193" w:rsidP="004B5193">
      <w:pPr>
        <w:autoSpaceDE w:val="0"/>
        <w:autoSpaceDN w:val="0"/>
        <w:adjustRightInd w:val="0"/>
        <w:rPr>
          <w:rFonts w:ascii="AdvPSA88A" w:hAnsi="AdvPSA88A" w:cs="AdvPSA88A"/>
          <w:sz w:val="18"/>
          <w:szCs w:val="18"/>
          <w:lang w:val="en-US"/>
        </w:rPr>
      </w:pPr>
      <w:r w:rsidRPr="004B5193">
        <w:rPr>
          <w:rFonts w:ascii="AdvPSA88A" w:hAnsi="AdvPSA88A" w:cs="AdvPSA88A"/>
          <w:sz w:val="18"/>
          <w:szCs w:val="18"/>
          <w:lang w:val="en-US"/>
        </w:rPr>
        <w:t xml:space="preserve">TTP </w:t>
      </w:r>
      <w:proofErr w:type="gramStart"/>
      <w:r w:rsidRPr="004B5193">
        <w:rPr>
          <w:rFonts w:ascii="AdvPSA88A" w:hAnsi="AdvPSA88A" w:cs="AdvPSA88A"/>
          <w:sz w:val="18"/>
          <w:szCs w:val="18"/>
          <w:lang w:val="en-US"/>
        </w:rPr>
        <w:t>was defined</w:t>
      </w:r>
      <w:proofErr w:type="gramEnd"/>
      <w:r w:rsidRPr="004B5193">
        <w:rPr>
          <w:rFonts w:ascii="AdvPSA88A" w:hAnsi="AdvPSA88A" w:cs="AdvPSA88A"/>
          <w:sz w:val="18"/>
          <w:szCs w:val="18"/>
          <w:lang w:val="en-US"/>
        </w:rPr>
        <w:t xml:space="preserve"> as time from date of diagnosis</w:t>
      </w:r>
      <w:r>
        <w:rPr>
          <w:rFonts w:ascii="AdvPSA88A" w:hAnsi="AdvPSA88A" w:cs="AdvPSA88A"/>
          <w:sz w:val="18"/>
          <w:szCs w:val="18"/>
          <w:lang w:val="en-US"/>
        </w:rPr>
        <w:t xml:space="preserve"> </w:t>
      </w:r>
      <w:r w:rsidRPr="004B5193">
        <w:rPr>
          <w:rFonts w:ascii="AdvPSA88A" w:hAnsi="AdvPSA88A" w:cs="AdvPSA88A"/>
          <w:sz w:val="18"/>
          <w:szCs w:val="18"/>
          <w:lang w:val="en-US"/>
        </w:rPr>
        <w:t>to date of progression</w:t>
      </w:r>
      <w:r>
        <w:rPr>
          <w:rFonts w:ascii="AdvPSA88A" w:hAnsi="AdvPSA88A" w:cs="AdvPSA88A"/>
          <w:sz w:val="18"/>
          <w:szCs w:val="18"/>
          <w:lang w:val="en-US"/>
        </w:rPr>
        <w:t xml:space="preserve">. As all deaths in our cohort </w:t>
      </w:r>
      <w:proofErr w:type="gramStart"/>
      <w:r>
        <w:rPr>
          <w:rFonts w:ascii="AdvPSA88A" w:hAnsi="AdvPSA88A" w:cs="AdvPSA88A"/>
          <w:sz w:val="18"/>
          <w:szCs w:val="18"/>
          <w:lang w:val="en-US"/>
        </w:rPr>
        <w:t>were related</w:t>
      </w:r>
      <w:proofErr w:type="gramEnd"/>
      <w:r>
        <w:rPr>
          <w:rFonts w:ascii="AdvPSA88A" w:hAnsi="AdvPSA88A" w:cs="AdvPSA88A"/>
          <w:sz w:val="18"/>
          <w:szCs w:val="18"/>
          <w:lang w:val="en-US"/>
        </w:rPr>
        <w:t xml:space="preserve"> to disease, disease specific survival (DSS), </w:t>
      </w:r>
      <w:r w:rsidRPr="004B5193">
        <w:rPr>
          <w:rFonts w:ascii="AdvPSA88A" w:hAnsi="AdvPSA88A" w:cs="AdvPSA88A"/>
          <w:sz w:val="18"/>
          <w:szCs w:val="18"/>
          <w:lang w:val="en-US"/>
        </w:rPr>
        <w:t>defin</w:t>
      </w:r>
      <w:r>
        <w:rPr>
          <w:rFonts w:ascii="AdvPSA88A" w:hAnsi="AdvPSA88A" w:cs="AdvPSA88A"/>
          <w:sz w:val="18"/>
          <w:szCs w:val="18"/>
          <w:lang w:val="en-US"/>
        </w:rPr>
        <w:t xml:space="preserve">ed as date of diagnosis to date </w:t>
      </w:r>
      <w:r w:rsidRPr="004B5193">
        <w:rPr>
          <w:rFonts w:ascii="AdvPSA88A" w:hAnsi="AdvPSA88A" w:cs="AdvPSA88A"/>
          <w:sz w:val="18"/>
          <w:szCs w:val="18"/>
          <w:lang w:val="en-US"/>
        </w:rPr>
        <w:t>of death</w:t>
      </w:r>
      <w:r>
        <w:rPr>
          <w:rFonts w:ascii="AdvPSA88A" w:hAnsi="AdvPSA88A" w:cs="AdvPSA88A"/>
          <w:sz w:val="18"/>
          <w:szCs w:val="18"/>
          <w:lang w:val="en-US"/>
        </w:rPr>
        <w:t>, which was due to disease, equaled OS, which accounts for all causes of deaths.</w:t>
      </w:r>
    </w:p>
    <w:p w:rsidR="004B5193" w:rsidRDefault="004B5193" w:rsidP="004B5193">
      <w:pPr>
        <w:autoSpaceDE w:val="0"/>
        <w:autoSpaceDN w:val="0"/>
        <w:adjustRightInd w:val="0"/>
        <w:rPr>
          <w:rFonts w:ascii="AdvPSA88A" w:hAnsi="AdvPSA88A" w:cs="AdvPSA88A"/>
          <w:sz w:val="18"/>
          <w:szCs w:val="18"/>
          <w:lang w:val="en-US"/>
        </w:rPr>
      </w:pPr>
    </w:p>
    <w:p w:rsidR="004B5193" w:rsidRPr="004B5193" w:rsidRDefault="004B5193" w:rsidP="004B5193">
      <w:pPr>
        <w:autoSpaceDE w:val="0"/>
        <w:autoSpaceDN w:val="0"/>
        <w:adjustRightInd w:val="0"/>
        <w:rPr>
          <w:rFonts w:ascii="AdvPSA88A" w:hAnsi="AdvPSA88A" w:cs="AdvPSA88A"/>
          <w:sz w:val="18"/>
          <w:szCs w:val="18"/>
          <w:lang w:val="en-US"/>
        </w:rPr>
      </w:pPr>
      <w:r>
        <w:rPr>
          <w:rFonts w:ascii="AdvPSA88A" w:hAnsi="AdvPSA88A" w:cs="AdvPSA88A"/>
          <w:sz w:val="18"/>
          <w:szCs w:val="18"/>
          <w:lang w:val="en-US"/>
        </w:rPr>
        <w:t xml:space="preserve">For the statistical comparison of radiation therapy and </w:t>
      </w:r>
      <w:proofErr w:type="gramStart"/>
      <w:r>
        <w:rPr>
          <w:rFonts w:ascii="AdvPSA88A" w:hAnsi="AdvPSA88A" w:cs="AdvPSA88A"/>
          <w:sz w:val="18"/>
          <w:szCs w:val="18"/>
          <w:lang w:val="en-US"/>
        </w:rPr>
        <w:t>chemotherapy</w:t>
      </w:r>
      <w:proofErr w:type="gramEnd"/>
      <w:r>
        <w:rPr>
          <w:rFonts w:ascii="AdvPSA88A" w:hAnsi="AdvPSA88A" w:cs="AdvPSA88A"/>
          <w:sz w:val="18"/>
          <w:szCs w:val="18"/>
          <w:lang w:val="en-US"/>
        </w:rPr>
        <w:t xml:space="preserve"> </w:t>
      </w:r>
      <w:r w:rsidRPr="004B5193">
        <w:rPr>
          <w:rFonts w:ascii="AdvPSA88A" w:hAnsi="AdvPSA88A" w:cs="AdvPSA88A"/>
          <w:sz w:val="18"/>
          <w:szCs w:val="18"/>
          <w:lang w:val="en-US"/>
        </w:rPr>
        <w:t>the log-rank (Mantel-C</w:t>
      </w:r>
      <w:r>
        <w:rPr>
          <w:rFonts w:ascii="AdvPSA88A" w:hAnsi="AdvPSA88A" w:cs="AdvPSA88A"/>
          <w:sz w:val="18"/>
          <w:szCs w:val="18"/>
          <w:lang w:val="en-US"/>
        </w:rPr>
        <w:t>ox) test was utilized.</w:t>
      </w:r>
      <w:r w:rsidRPr="004B5193">
        <w:rPr>
          <w:rFonts w:ascii="AdvPSA88A" w:hAnsi="AdvPSA88A" w:cs="AdvPSA88A"/>
          <w:sz w:val="18"/>
          <w:szCs w:val="18"/>
          <w:lang w:val="en-US"/>
        </w:rPr>
        <w:t xml:space="preserve"> Two-sided </w:t>
      </w:r>
      <w:r w:rsidRPr="004B5193">
        <w:rPr>
          <w:rFonts w:ascii="AdvPSA88C" w:hAnsi="AdvPSA88C" w:cs="AdvPSA88C"/>
          <w:sz w:val="18"/>
          <w:szCs w:val="18"/>
          <w:lang w:val="en-US"/>
        </w:rPr>
        <w:t xml:space="preserve">P </w:t>
      </w:r>
      <w:r w:rsidRPr="004B5193">
        <w:rPr>
          <w:rFonts w:ascii="AdvPSA88A" w:hAnsi="AdvPSA88A" w:cs="AdvPSA88A"/>
          <w:sz w:val="18"/>
          <w:szCs w:val="18"/>
          <w:lang w:val="en-US"/>
        </w:rPr>
        <w:t xml:space="preserve">values </w:t>
      </w:r>
      <w:r w:rsidRPr="004B5193">
        <w:rPr>
          <w:rFonts w:ascii="AdvP4C4E51" w:hAnsi="AdvP4C4E51" w:cs="AdvP4C4E51"/>
          <w:sz w:val="18"/>
          <w:szCs w:val="18"/>
          <w:lang w:val="en-US"/>
        </w:rPr>
        <w:t>&lt;</w:t>
      </w:r>
      <w:r w:rsidR="008E1727">
        <w:rPr>
          <w:rFonts w:ascii="AdvP4C4E51" w:hAnsi="AdvP4C4E51" w:cs="AdvP4C4E51"/>
          <w:sz w:val="18"/>
          <w:szCs w:val="18"/>
          <w:lang w:val="en-US"/>
        </w:rPr>
        <w:t xml:space="preserve"> 0</w:t>
      </w:r>
      <w:r w:rsidRPr="004B5193">
        <w:rPr>
          <w:rFonts w:ascii="AdvPSA88A" w:hAnsi="AdvPSA88A" w:cs="AdvPSA88A"/>
          <w:sz w:val="18"/>
          <w:szCs w:val="18"/>
          <w:lang w:val="en-US"/>
        </w:rPr>
        <w:t xml:space="preserve">.05 </w:t>
      </w:r>
      <w:proofErr w:type="gramStart"/>
      <w:r w:rsidRPr="004B5193">
        <w:rPr>
          <w:rFonts w:ascii="AdvPSA88A" w:hAnsi="AdvPSA88A" w:cs="AdvPSA88A"/>
          <w:sz w:val="18"/>
          <w:szCs w:val="18"/>
          <w:lang w:val="en-US"/>
        </w:rPr>
        <w:t>were considered</w:t>
      </w:r>
      <w:proofErr w:type="gramEnd"/>
      <w:r w:rsidRPr="004B5193">
        <w:rPr>
          <w:rFonts w:ascii="AdvPSA88A" w:hAnsi="AdvPSA88A" w:cs="AdvPSA88A"/>
          <w:sz w:val="18"/>
          <w:szCs w:val="18"/>
          <w:lang w:val="en-US"/>
        </w:rPr>
        <w:t xml:space="preserve"> significant.</w:t>
      </w:r>
    </w:p>
    <w:p w:rsidR="004B5193" w:rsidRDefault="004B5193" w:rsidP="004B5193">
      <w:pPr>
        <w:autoSpaceDE w:val="0"/>
        <w:autoSpaceDN w:val="0"/>
        <w:adjustRightInd w:val="0"/>
        <w:rPr>
          <w:rFonts w:ascii="AdvPSA88A" w:hAnsi="AdvPSA88A" w:cs="AdvPSA88A"/>
          <w:sz w:val="18"/>
          <w:szCs w:val="18"/>
          <w:lang w:val="en-US"/>
        </w:rPr>
      </w:pPr>
    </w:p>
    <w:p w:rsidR="008E1727" w:rsidRDefault="008E1727" w:rsidP="008E1727">
      <w:pPr>
        <w:autoSpaceDE w:val="0"/>
        <w:autoSpaceDN w:val="0"/>
        <w:adjustRightInd w:val="0"/>
        <w:rPr>
          <w:rFonts w:ascii="AdvPSA05F" w:hAnsi="AdvPSA05F" w:cs="AdvPSA05F"/>
          <w:sz w:val="18"/>
          <w:szCs w:val="18"/>
          <w:lang w:val="en-US"/>
        </w:rPr>
      </w:pPr>
    </w:p>
    <w:p w:rsidR="008E1727" w:rsidRDefault="008E1727" w:rsidP="008E1727">
      <w:pPr>
        <w:autoSpaceDE w:val="0"/>
        <w:autoSpaceDN w:val="0"/>
        <w:adjustRightInd w:val="0"/>
        <w:rPr>
          <w:rFonts w:ascii="AdvPSA05F" w:hAnsi="AdvPSA05F" w:cs="AdvPSA05F"/>
          <w:sz w:val="18"/>
          <w:szCs w:val="18"/>
          <w:lang w:val="en-US"/>
        </w:rPr>
      </w:pPr>
    </w:p>
    <w:p w:rsidR="008E1727" w:rsidRDefault="008E1727" w:rsidP="008E1727">
      <w:pPr>
        <w:autoSpaceDE w:val="0"/>
        <w:autoSpaceDN w:val="0"/>
        <w:adjustRightInd w:val="0"/>
        <w:rPr>
          <w:rFonts w:ascii="AdvPSA05F" w:hAnsi="AdvPSA05F" w:cs="AdvPSA05F"/>
          <w:sz w:val="18"/>
          <w:szCs w:val="18"/>
          <w:lang w:val="en-US"/>
        </w:rPr>
      </w:pPr>
    </w:p>
    <w:p w:rsidR="008E1727" w:rsidRDefault="008E1727" w:rsidP="008E1727">
      <w:pPr>
        <w:autoSpaceDE w:val="0"/>
        <w:autoSpaceDN w:val="0"/>
        <w:adjustRightInd w:val="0"/>
        <w:rPr>
          <w:rFonts w:ascii="AdvPSA05F" w:hAnsi="AdvPSA05F" w:cs="AdvPSA05F"/>
          <w:sz w:val="18"/>
          <w:szCs w:val="18"/>
          <w:lang w:val="en-US"/>
        </w:rPr>
      </w:pPr>
    </w:p>
    <w:p w:rsidR="008E1727" w:rsidRDefault="008E1727" w:rsidP="008E1727">
      <w:pPr>
        <w:autoSpaceDE w:val="0"/>
        <w:autoSpaceDN w:val="0"/>
        <w:adjustRightInd w:val="0"/>
        <w:rPr>
          <w:rFonts w:ascii="AdvPSA05F" w:hAnsi="AdvPSA05F" w:cs="AdvPSA05F"/>
          <w:sz w:val="18"/>
          <w:szCs w:val="18"/>
          <w:lang w:val="en-US"/>
        </w:rPr>
      </w:pPr>
    </w:p>
    <w:p w:rsidR="008E1727" w:rsidRDefault="008E1727" w:rsidP="008E1727">
      <w:pPr>
        <w:autoSpaceDE w:val="0"/>
        <w:autoSpaceDN w:val="0"/>
        <w:adjustRightInd w:val="0"/>
        <w:rPr>
          <w:rFonts w:ascii="AdvPSA05F" w:hAnsi="AdvPSA05F" w:cs="AdvPSA05F"/>
          <w:sz w:val="18"/>
          <w:szCs w:val="18"/>
          <w:lang w:val="en-US"/>
        </w:rPr>
      </w:pPr>
      <w:r>
        <w:rPr>
          <w:noProof/>
          <w:lang w:eastAsia="de-CH"/>
        </w:rPr>
        <w:drawing>
          <wp:inline distT="0" distB="0" distL="0" distR="0" wp14:anchorId="117FAE6F" wp14:editId="7F30EEC4">
            <wp:extent cx="5760720" cy="28346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27" w:rsidRDefault="008E1727" w:rsidP="008E1727">
      <w:pPr>
        <w:autoSpaceDE w:val="0"/>
        <w:autoSpaceDN w:val="0"/>
        <w:adjustRightInd w:val="0"/>
        <w:rPr>
          <w:rFonts w:ascii="AdvPSA05F" w:hAnsi="AdvPSA05F" w:cs="AdvPSA05F"/>
          <w:sz w:val="18"/>
          <w:szCs w:val="18"/>
          <w:lang w:val="en-US"/>
        </w:rPr>
      </w:pPr>
    </w:p>
    <w:p w:rsidR="008E1727" w:rsidRDefault="008E1727" w:rsidP="008E1727">
      <w:pPr>
        <w:autoSpaceDE w:val="0"/>
        <w:autoSpaceDN w:val="0"/>
        <w:adjustRightInd w:val="0"/>
        <w:rPr>
          <w:rFonts w:ascii="AdvPSA05F" w:hAnsi="AdvPSA05F" w:cs="AdvPSA05F"/>
          <w:sz w:val="18"/>
          <w:szCs w:val="18"/>
          <w:lang w:val="en-US"/>
        </w:rPr>
      </w:pPr>
    </w:p>
    <w:p w:rsidR="008E1727" w:rsidRDefault="008E1727" w:rsidP="008E1727">
      <w:pPr>
        <w:autoSpaceDE w:val="0"/>
        <w:autoSpaceDN w:val="0"/>
        <w:adjustRightInd w:val="0"/>
        <w:rPr>
          <w:rFonts w:ascii="AdvPSA05F" w:hAnsi="AdvPSA05F" w:cs="AdvPSA05F"/>
          <w:sz w:val="18"/>
          <w:szCs w:val="18"/>
          <w:lang w:val="en-US"/>
        </w:rPr>
      </w:pPr>
    </w:p>
    <w:p w:rsidR="008E1727" w:rsidRDefault="008E1727">
      <w:pPr>
        <w:rPr>
          <w:rFonts w:ascii="AdvPSA05F" w:hAnsi="AdvPSA05F" w:cs="AdvPSA05F"/>
          <w:sz w:val="18"/>
          <w:szCs w:val="18"/>
          <w:lang w:val="en-US"/>
        </w:rPr>
      </w:pPr>
      <w:bookmarkStart w:id="0" w:name="_GoBack"/>
      <w:r>
        <w:rPr>
          <w:rFonts w:ascii="AdvPSA05F" w:hAnsi="AdvPSA05F" w:cs="AdvPSA05F"/>
          <w:sz w:val="18"/>
          <w:szCs w:val="18"/>
          <w:lang w:val="en-US"/>
        </w:rPr>
        <w:br w:type="page"/>
      </w:r>
    </w:p>
    <w:bookmarkEnd w:id="0"/>
    <w:p w:rsidR="008E1727" w:rsidRDefault="008E1727" w:rsidP="008E1727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08C7B5E6" wp14:editId="5A9C509D">
            <wp:extent cx="4600000" cy="637142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27" w:rsidRDefault="008E1727">
      <w:pPr>
        <w:rPr>
          <w:lang w:val="en-US"/>
        </w:rPr>
      </w:pPr>
      <w:r>
        <w:rPr>
          <w:lang w:val="en-US"/>
        </w:rPr>
        <w:br w:type="page"/>
      </w:r>
    </w:p>
    <w:p w:rsidR="008E1727" w:rsidRDefault="008E1727" w:rsidP="008E1727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799BB41" wp14:editId="0FB1906C">
            <wp:extent cx="5541645" cy="2845435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03"/>
                    <a:stretch/>
                  </pic:blipFill>
                  <pic:spPr bwMode="auto">
                    <a:xfrm>
                      <a:off x="0" y="0"/>
                      <a:ext cx="5541645" cy="28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727" w:rsidRDefault="008E1727" w:rsidP="008E1727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A5EAF13" wp14:editId="43F277BE">
            <wp:extent cx="4542857" cy="633333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27" w:rsidRDefault="008E1727">
      <w:pPr>
        <w:rPr>
          <w:lang w:val="en-US"/>
        </w:rPr>
      </w:pPr>
      <w:r>
        <w:rPr>
          <w:lang w:val="en-US"/>
        </w:rPr>
        <w:br w:type="page"/>
      </w:r>
    </w:p>
    <w:p w:rsidR="008E1727" w:rsidRPr="004B5193" w:rsidRDefault="008E1727" w:rsidP="008E1727">
      <w:pPr>
        <w:rPr>
          <w:lang w:val="en-US"/>
        </w:rPr>
      </w:pPr>
    </w:p>
    <w:sectPr w:rsidR="008E1727" w:rsidRPr="004B5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SA88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A88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5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A05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93"/>
    <w:rsid w:val="00063616"/>
    <w:rsid w:val="004B5193"/>
    <w:rsid w:val="008E1727"/>
    <w:rsid w:val="00A74D0B"/>
    <w:rsid w:val="00EE6B5E"/>
    <w:rsid w:val="00F0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D5875"/>
  <w15:chartTrackingRefBased/>
  <w15:docId w15:val="{B89E7AE2-3B05-428D-80AA-A43F85D0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UniversitätsSpital Zürich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Anzengruber Florian</dc:creator>
  <cp:keywords/>
  <dc:description/>
  <cp:lastModifiedBy>Anzengruber Florian</cp:lastModifiedBy>
  <cp:revision>2</cp:revision>
  <dcterms:created xsi:type="dcterms:W3CDTF">2018-08-27T15:13:00Z</dcterms:created>
  <dcterms:modified xsi:type="dcterms:W3CDTF">2018-08-27T15:13:00Z</dcterms:modified>
</cp:coreProperties>
</file>