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widowControl w:val="0"/>
        <w:shd w:val="clear" w:color="auto" w:fill="auto"/>
        <w:bidi w:val="0"/>
        <w:spacing w:before="0" w:after="552"/>
        <w:ind w:left="0" w:right="0" w:firstLine="0"/>
        <w:rPr>
          <w:color w:val="000000"/>
          <w:spacing w:val="0"/>
          <w:w w:val="100"/>
          <w:position w:val="0"/>
          <w:lang w:val="en-US" w:eastAsia="en-US" w:bidi="en-US"/>
        </w:rPr>
      </w:pPr>
      <w:bookmarkStart w:id="0" w:name="bookmark1"/>
      <w:r>
        <w:rPr>
          <w:color w:val="000000"/>
          <w:spacing w:val="0"/>
          <w:w w:val="100"/>
          <w:position w:val="0"/>
          <w:lang w:val="en-US" w:eastAsia="en-US" w:bidi="en-US"/>
        </w:rPr>
        <w:t>The study of Beng Mealea heritage site for revising tentative list and preparing final official listing as an extension for the World Heritage site of Angkor</w:t>
      </w:r>
      <w:bookmarkEnd w:id="0"/>
    </w:p>
    <w:p>
      <w:pPr>
        <w:pStyle w:val="5"/>
        <w:keepNext/>
        <w:keepLines/>
        <w:widowControl w:val="0"/>
        <w:shd w:val="clear" w:color="auto" w:fill="auto"/>
        <w:bidi w:val="0"/>
        <w:spacing w:before="0" w:after="198" w:line="280" w:lineRule="exact"/>
        <w:ind w:left="0" w:right="0" w:firstLine="0"/>
        <w:rPr>
          <w:rFonts w:hint="eastAsia" w:eastAsia="宋体"/>
          <w:color w:val="000000"/>
          <w:spacing w:val="0"/>
          <w:w w:val="100"/>
          <w:position w:val="0"/>
          <w:lang w:val="en-US" w:eastAsia="zh-CN" w:bidi="en-US"/>
        </w:rPr>
      </w:pPr>
      <w:r>
        <w:rPr>
          <w:rFonts w:hint="eastAsia" w:eastAsia="宋体"/>
          <w:color w:val="000000"/>
          <w:spacing w:val="0"/>
          <w:w w:val="100"/>
          <w:position w:val="0"/>
          <w:lang w:val="en-US" w:eastAsia="zh-CN" w:bidi="en-US"/>
        </w:rPr>
        <w:t>引言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95"/>
        <w:ind w:left="0" w:right="0" w:firstLine="0"/>
        <w:rPr>
          <w:color w:val="FFC000" w:themeColor="accent4"/>
          <w:spacing w:val="0"/>
          <w:w w:val="100"/>
          <w:position w:val="0"/>
          <w:sz w:val="24"/>
          <w:szCs w:val="24"/>
          <w:lang w:val="en-US" w:eastAsia="en-US" w:bidi="en-US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spacing w:val="0"/>
          <w:w w:val="100"/>
          <w:position w:val="0"/>
          <w:sz w:val="24"/>
          <w:szCs w:val="24"/>
          <w:lang w:val="en-US" w:eastAsia="en-US" w:bidi="en-US"/>
          <w14:textFill>
            <w14:solidFill>
              <w14:schemeClr w14:val="accent4"/>
            </w14:solidFill>
          </w14:textFill>
        </w:rPr>
        <w:t xml:space="preserve">This report is a part of a primary study of Beng Mealea heritage site for revising tentative list and preparing final official listing as an extension for the World Heritage site of Angkor. 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95"/>
        <w:ind w:left="0" w:right="0" w:firstLine="0"/>
        <w:rPr>
          <w:rFonts w:hint="eastAsia" w:eastAsia="宋体"/>
          <w:color w:val="4472C4" w:themeColor="accent5"/>
          <w:spacing w:val="0"/>
          <w:w w:val="100"/>
          <w:position w:val="0"/>
          <w:sz w:val="24"/>
          <w:szCs w:val="24"/>
          <w:lang w:val="en-US" w:eastAsia="zh-CN" w:bidi="en-US"/>
          <w14:textFill>
            <w14:solidFill>
              <w14:schemeClr w14:val="accent5"/>
            </w14:solidFill>
          </w14:textFill>
        </w:rPr>
      </w:pPr>
      <w:r>
        <w:rPr>
          <w:rFonts w:hint="eastAsia" w:eastAsia="宋体"/>
          <w:color w:val="4472C4" w:themeColor="accent5"/>
          <w:spacing w:val="0"/>
          <w:w w:val="100"/>
          <w:position w:val="0"/>
          <w:sz w:val="24"/>
          <w:szCs w:val="24"/>
          <w:lang w:val="en-US" w:eastAsia="zh-CN" w:bidi="en-US"/>
          <w14:textFill>
            <w14:solidFill>
              <w14:schemeClr w14:val="accent5"/>
            </w14:solidFill>
          </w14:textFill>
        </w:rPr>
        <w:t>吴哥世界遗产遗址的延伸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95"/>
        <w:ind w:left="0" w:right="0" w:firstLine="0"/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This is not an inclusive manual or a genuine document for Beng Mealea as a World Heritage nomination dossier, but it will give a general framework, some useful advises and recommendations in order to start the nomination process. 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95"/>
        <w:ind w:left="0" w:right="0" w:firstLine="0"/>
        <w:rPr>
          <w:rFonts w:hint="eastAsia" w:eastAsia="宋体"/>
          <w:color w:val="000000"/>
          <w:spacing w:val="0"/>
          <w:w w:val="100"/>
          <w:position w:val="0"/>
          <w:sz w:val="24"/>
          <w:szCs w:val="24"/>
          <w:lang w:val="en-US" w:eastAsia="zh-CN" w:bidi="en-US"/>
        </w:rPr>
      </w:pPr>
      <w:r>
        <w:rPr>
          <w:rFonts w:hint="eastAsia" w:eastAsia="宋体"/>
          <w:color w:val="000000"/>
          <w:spacing w:val="0"/>
          <w:w w:val="100"/>
          <w:position w:val="0"/>
          <w:sz w:val="24"/>
          <w:szCs w:val="24"/>
          <w:lang w:val="en-US" w:eastAsia="zh-CN" w:bidi="en-US"/>
        </w:rPr>
        <w:t>本报告不是崩列密(世界文化遗产提名地)的完全手册或者真实的文档，但该报告将会介绍关于崩列密的基本构架，提供一</w:t>
      </w:r>
      <w:bookmarkStart w:id="1" w:name="_GoBack"/>
      <w:bookmarkEnd w:id="1"/>
      <w:r>
        <w:rPr>
          <w:rFonts w:hint="eastAsia" w:eastAsia="宋体"/>
          <w:color w:val="000000"/>
          <w:spacing w:val="0"/>
          <w:w w:val="100"/>
          <w:position w:val="0"/>
          <w:sz w:val="24"/>
          <w:szCs w:val="24"/>
          <w:lang w:val="en-US" w:eastAsia="zh-CN" w:bidi="en-US"/>
        </w:rPr>
        <w:t>些有价值的建议以便开启提名流程。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95"/>
        <w:ind w:left="0" w:right="0" w:firstLine="0"/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The study comprises of four main parts which are a technical description of the Beng Mealea, challenges and opportunities, advisory for preparing World Heritage Nomination and a list of actions recommended for the improved protection, display and maintenance of Beng Mealea heritage site. 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95"/>
        <w:ind w:left="0" w:right="0" w:firstLine="0"/>
        <w:rPr>
          <w:rFonts w:hint="eastAsia" w:eastAsia="宋体"/>
          <w:color w:val="000000"/>
          <w:spacing w:val="0"/>
          <w:w w:val="100"/>
          <w:position w:val="0"/>
          <w:sz w:val="24"/>
          <w:szCs w:val="24"/>
          <w:lang w:val="en-US" w:eastAsia="zh-CN" w:bidi="en-US"/>
        </w:rPr>
      </w:pPr>
      <w:r>
        <w:rPr>
          <w:rFonts w:hint="eastAsia" w:eastAsia="宋体"/>
          <w:color w:val="000000"/>
          <w:spacing w:val="0"/>
          <w:w w:val="100"/>
          <w:position w:val="0"/>
          <w:sz w:val="24"/>
          <w:szCs w:val="24"/>
          <w:lang w:val="en-US" w:eastAsia="zh-CN" w:bidi="en-US"/>
        </w:rPr>
        <w:t>本文档由四部分组成，分别是崩密列的技术说明，挑战与机遇，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95"/>
        <w:ind w:left="0" w:right="0" w:firstLine="0"/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The next parts are main contents of this report which will be analyzed and discussed further as following;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557BB"/>
    <w:rsid w:val="59FF7C95"/>
    <w:rsid w:val="650557BB"/>
    <w:rsid w:val="6B7F2E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ngLiU_HKSCS" w:hAnsi="MingLiU_HKSCS" w:eastAsia="MingLiU_HKSCS" w:cs="MingLiU_HKSCS"/>
      <w:color w:val="000000"/>
      <w:spacing w:val="0"/>
      <w:w w:val="100"/>
      <w:position w:val="0"/>
      <w:sz w:val="24"/>
      <w:szCs w:val="24"/>
      <w:lang w:val="en-US" w:eastAsia="en-US" w:bidi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#41"/>
    <w:basedOn w:val="1"/>
    <w:qFormat/>
    <w:uiPriority w:val="0"/>
    <w:pPr>
      <w:widowControl w:val="0"/>
      <w:shd w:val="clear" w:color="auto" w:fill="FFFFFF"/>
      <w:spacing w:after="480" w:line="370" w:lineRule="exact"/>
      <w:jc w:val="both"/>
      <w:outlineLvl w:val="3"/>
    </w:pPr>
    <w:rPr>
      <w:rFonts w:ascii="Times New Roman" w:hAnsi="Times New Roman" w:eastAsia="Times New Roman" w:cs="Times New Roman"/>
      <w:b/>
      <w:bCs/>
      <w:sz w:val="30"/>
      <w:szCs w:val="30"/>
      <w:u w:val="none"/>
    </w:rPr>
  </w:style>
  <w:style w:type="paragraph" w:customStyle="1" w:styleId="5">
    <w:name w:val="标题 #6"/>
    <w:basedOn w:val="1"/>
    <w:uiPriority w:val="0"/>
    <w:pPr>
      <w:widowControl w:val="0"/>
      <w:shd w:val="clear" w:color="auto" w:fill="FFFFFF"/>
      <w:spacing w:before="480" w:after="300" w:line="0" w:lineRule="exact"/>
      <w:jc w:val="both"/>
      <w:outlineLvl w:val="5"/>
    </w:pPr>
    <w:rPr>
      <w:rFonts w:ascii="Times New Roman" w:hAnsi="Times New Roman" w:eastAsia="Times New Roman" w:cs="Times New Roman"/>
      <w:b/>
      <w:bCs/>
      <w:sz w:val="28"/>
      <w:szCs w:val="28"/>
      <w:u w:val="none"/>
    </w:rPr>
  </w:style>
  <w:style w:type="paragraph" w:customStyle="1" w:styleId="6">
    <w:name w:val="正文文本 (2)"/>
    <w:basedOn w:val="1"/>
    <w:qFormat/>
    <w:uiPriority w:val="0"/>
    <w:pPr>
      <w:widowControl w:val="0"/>
      <w:shd w:val="clear" w:color="auto" w:fill="FFFFFF"/>
      <w:spacing w:before="300" w:after="300" w:line="274" w:lineRule="exact"/>
      <w:jc w:val="both"/>
    </w:pPr>
    <w:rPr>
      <w:rFonts w:ascii="Times New Roman" w:hAnsi="Times New Roman" w:eastAsia="Times New Roman" w:cs="Times New Roman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2017-10-26T13:08:00Z</dcterms:created>
  <dc:creator>BoyuanHuang</dc:creator>
  <cp:lastModifiedBy>BoyuanHuang</cp:lastModifiedBy>
  <dcterms:modified xsi:type="dcterms:W3CDTF">2017-10-26T14:41:34Z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