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640"/>
        <w:rPr>
          <w:rFonts w:hint="eastAsia"/>
          <w:lang w:val="en-US" w:eastAsia="zh-CN"/>
        </w:rPr>
      </w:pPr>
      <w:r>
        <w:rPr>
          <w:rFonts w:hint="eastAsia"/>
        </w:rPr>
        <w:t>白话</w:t>
      </w:r>
      <w:r>
        <w:rPr>
          <w:rFonts w:hint="eastAsia"/>
          <w:lang w:val="en-US" w:eastAsia="zh-CN"/>
        </w:rPr>
        <w:t>大数据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机器学习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大数据产业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简单可以分为：数据收集，数据存储，数据建模，数据分析，数据变现。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步入数据之门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信息是用来消除随机不确定性的东西。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排列组合与古典概率</w:t>
      </w:r>
    </w:p>
    <w:p>
      <w:pPr>
        <w:pStyle w:val="2"/>
        <w:numPr>
          <w:ilvl w:val="0"/>
          <w:numId w:val="1"/>
        </w:numPr>
        <w:spacing w:line="579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统计与分布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加和值、平均值和标准差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加和值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平均值</w:t>
      </w:r>
    </w:p>
    <w:p>
      <w:pPr>
        <w:pStyle w:val="4"/>
        <w:spacing w:line="413" w:lineRule="auto"/>
        <w:ind w:firstLine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4.1.3</w:t>
      </w:r>
      <w:r>
        <w:rPr>
          <w:rFonts w:hint="eastAsia"/>
          <w:lang w:val="en-US" w:eastAsia="zh-CN"/>
        </w:rPr>
        <w:t>标准差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标准差公式为：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8pt;width:1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加权均值</w:t>
      </w: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众数，中位数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4.4</w:t>
      </w:r>
      <w:r>
        <w:rPr>
          <w:rFonts w:hint="eastAsia"/>
          <w:lang w:val="en-US" w:eastAsia="zh-CN"/>
        </w:rPr>
        <w:t xml:space="preserve"> 欧式距离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6" o:spt="75" type="#_x0000_t75" style="height:22pt;width:18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表现为：两点之间，直线最短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4.5 </w:t>
      </w:r>
      <w:r>
        <w:rPr>
          <w:rFonts w:hint="eastAsia"/>
          <w:lang w:val="en-US" w:eastAsia="zh-CN"/>
        </w:rPr>
        <w:t>曼哈顿距离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曼哈顿距离（Manhattan Distance），又叫出租车距离。是一种典型的对欧氏距离的简化。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7" o:spt="75" type="#_x0000_t75" style="height:20pt;width:9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4.6 </w:t>
      </w:r>
      <w:r>
        <w:rPr>
          <w:rFonts w:hint="eastAsia"/>
          <w:lang w:val="en-US" w:eastAsia="zh-CN"/>
        </w:rPr>
        <w:t>同比和环比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同比：与相邻时段的同一时期相比。例如：每月一次的报告，今年7月与去年7月相比。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环比：直接和上一个报告时期相比。例如：今年7月的报告与6月的相比。</w:t>
      </w:r>
    </w:p>
    <w:p>
      <w:pPr>
        <w:pStyle w:val="3"/>
        <w:spacing w:line="416" w:lineRule="auto"/>
        <w:ind w:firstLine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4.7 抽样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抽样（sampling）。</w:t>
      </w:r>
    </w:p>
    <w:p>
      <w:pPr>
        <w:pStyle w:val="3"/>
        <w:spacing w:line="416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高斯分布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正态分布（Normal Distribution）又名高斯分布（Gaussian Distribution）。高斯函数的概率密度函数如下：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8" o:spt="75" type="#_x0000_t75" style="height:38pt;width:15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2827655" cy="1490345"/>
            <wp:effectExtent l="0" t="0" r="10795" b="146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密度函数：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4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是样本特征自变量，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3pt;width:11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1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在这个样本特性上的数量比例。这个函数的峰值在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3pt;width:3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的位置，对应的函数值为</w:t>
      </w:r>
      <w:r>
        <w:rPr>
          <w:rFonts w:hint="eastAsia"/>
          <w:position w:val="-28"/>
          <w:lang w:val="en-US" w:eastAsia="zh-CN"/>
        </w:rPr>
        <w:object>
          <v:shape id="_x0000_i1035" o:spt="75" type="#_x0000_t75" style="height:33pt;width:5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。样本数量在此用的是定积分的定义，即整个函数曲线在其下方围住的面积占比。在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3pt;width:3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左右两侧的函数对称，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29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2pt;width:2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之间的样本数量占整个样本数量的68.2%，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3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6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43" o:spt="75" alt="" type="#_x0000_t75" style="height:13.95pt;width:3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占有95.4%，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3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3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之间占有99.6%。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根据统计的情况在不同条件下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3pt;width:12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3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1pt;width:12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值可能不同。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2" o:spt="75" type="#_x0000_t75" style="height:13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>比较大，则整个函数图像的中轴向右挪动比较多；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3">
            <o:LockedField>false</o:LockedField>
          </o:OLEObject>
        </w:object>
      </w:r>
      <w:r>
        <w:rPr>
          <w:rFonts w:hint="eastAsia"/>
          <w:lang w:val="en-US" w:eastAsia="zh-CN"/>
        </w:rPr>
        <w:t>比较小，则函数图像的中轴向左挪动比较多；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4" o:spt="75" type="#_x0000_t75" style="height:11pt;width:1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>比较大，则整个曲线绵延比比较长，整个坡度显得平缓；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5" o:spt="75" type="#_x0000_t75" style="height:11pt;width:1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5" DrawAspect="Content" ObjectID="_1468075748" r:id="rId45">
            <o:LockedField>false</o:LockedField>
          </o:OLEObject>
        </w:object>
      </w:r>
      <w:r>
        <w:rPr>
          <w:rFonts w:hint="eastAsia"/>
          <w:lang w:val="en-US" w:eastAsia="zh-CN"/>
        </w:rPr>
        <w:t>比较小，整个曲线窄而立陡；</w:t>
      </w:r>
    </w:p>
    <w:p>
      <w:pPr>
        <w:numPr>
          <w:numId w:val="0"/>
        </w:numPr>
        <w:jc w:val="left"/>
        <w:rPr>
          <w:rFonts w:hint="eastAsia" w:asciiTheme="majorAscii" w:hAnsiTheme="majorAsci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Theme="majorAscii" w:hAnsiTheme="majorAsci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4.9 </w:t>
      </w:r>
      <w:r>
        <w:rPr>
          <w:rFonts w:hint="eastAsia" w:asciiTheme="majorAscii" w:hAnsiTheme="majorAsci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泊松分布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泊松（Poisson）分布是一种统计和概率中常见的离散概率分布。其概率函数如下：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6" o:spt="75" type="#_x0000_t75" style="height:33pt;width:157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6" DrawAspect="Content" ObjectID="_1468075749" r:id="rId46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泊松分布的参数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3.95pt;width:11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7" DrawAspect="Content" ObjectID="_1468075750" r:id="rId48">
            <o:LockedField>false</o:LockedField>
          </o:OLEObject>
        </w:object>
      </w:r>
      <w:r>
        <w:rPr>
          <w:rFonts w:hint="eastAsia"/>
          <w:lang w:val="en-US" w:eastAsia="zh-CN"/>
        </w:rPr>
        <w:t>是单位时间（或单位面积）内随机时间的平均发生率。泊松分布适合于描述单位时间内随机事件发生的次数。</w:t>
      </w:r>
    </w:p>
    <w:p>
      <w:pPr>
        <w:jc w:val="center"/>
      </w:pPr>
      <w:r>
        <w:drawing>
          <wp:inline distT="0" distB="0" distL="114300" distR="114300">
            <wp:extent cx="2012950" cy="1854200"/>
            <wp:effectExtent l="0" t="0" r="6350" b="1270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4ADE1"/>
    <w:multiLevelType w:val="singleLevel"/>
    <w:tmpl w:val="9E44ADE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5768744"/>
    <w:multiLevelType w:val="singleLevel"/>
    <w:tmpl w:val="5576874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8A"/>
    <w:rsid w:val="000533D7"/>
    <w:rsid w:val="000945C9"/>
    <w:rsid w:val="001C2582"/>
    <w:rsid w:val="00322F8A"/>
    <w:rsid w:val="00460910"/>
    <w:rsid w:val="004924F1"/>
    <w:rsid w:val="00525251"/>
    <w:rsid w:val="005F1390"/>
    <w:rsid w:val="00640E0D"/>
    <w:rsid w:val="007A1C31"/>
    <w:rsid w:val="00822D6C"/>
    <w:rsid w:val="008C6842"/>
    <w:rsid w:val="00A265DC"/>
    <w:rsid w:val="00DA309D"/>
    <w:rsid w:val="00F45442"/>
    <w:rsid w:val="035A77D1"/>
    <w:rsid w:val="04A330F8"/>
    <w:rsid w:val="05CE2FBE"/>
    <w:rsid w:val="08560271"/>
    <w:rsid w:val="096D5839"/>
    <w:rsid w:val="0DDD0449"/>
    <w:rsid w:val="11AF6E05"/>
    <w:rsid w:val="15080777"/>
    <w:rsid w:val="15565C19"/>
    <w:rsid w:val="15D10E63"/>
    <w:rsid w:val="15DF2051"/>
    <w:rsid w:val="161747A2"/>
    <w:rsid w:val="1AAD59AA"/>
    <w:rsid w:val="1ABA2B73"/>
    <w:rsid w:val="1C522824"/>
    <w:rsid w:val="1E732F72"/>
    <w:rsid w:val="20D07A5A"/>
    <w:rsid w:val="23B9473A"/>
    <w:rsid w:val="23D05E69"/>
    <w:rsid w:val="246E7C6C"/>
    <w:rsid w:val="25771F15"/>
    <w:rsid w:val="25D17F2C"/>
    <w:rsid w:val="26AF2747"/>
    <w:rsid w:val="26ED5C4A"/>
    <w:rsid w:val="2CA5596E"/>
    <w:rsid w:val="2D0453BE"/>
    <w:rsid w:val="2D6C557D"/>
    <w:rsid w:val="2E9412DF"/>
    <w:rsid w:val="2F034DA7"/>
    <w:rsid w:val="30AA628C"/>
    <w:rsid w:val="32015A45"/>
    <w:rsid w:val="32E95830"/>
    <w:rsid w:val="33A77820"/>
    <w:rsid w:val="33B56759"/>
    <w:rsid w:val="36CD148B"/>
    <w:rsid w:val="38CE0618"/>
    <w:rsid w:val="39643447"/>
    <w:rsid w:val="3A0E62D7"/>
    <w:rsid w:val="3B1B2462"/>
    <w:rsid w:val="3BA43E58"/>
    <w:rsid w:val="3BEA4099"/>
    <w:rsid w:val="3C640137"/>
    <w:rsid w:val="3D300877"/>
    <w:rsid w:val="4411616A"/>
    <w:rsid w:val="449A202C"/>
    <w:rsid w:val="45B14305"/>
    <w:rsid w:val="4605126D"/>
    <w:rsid w:val="477A2B6B"/>
    <w:rsid w:val="47CE0022"/>
    <w:rsid w:val="4BAA0763"/>
    <w:rsid w:val="4C4C3F16"/>
    <w:rsid w:val="4DFC2F90"/>
    <w:rsid w:val="4E4A091E"/>
    <w:rsid w:val="4FFC3565"/>
    <w:rsid w:val="50B43E41"/>
    <w:rsid w:val="511E526D"/>
    <w:rsid w:val="520D67A4"/>
    <w:rsid w:val="53C23E9A"/>
    <w:rsid w:val="5B5A33E4"/>
    <w:rsid w:val="5CAB5E2A"/>
    <w:rsid w:val="5D5829EF"/>
    <w:rsid w:val="62234502"/>
    <w:rsid w:val="62B23409"/>
    <w:rsid w:val="63FA72E2"/>
    <w:rsid w:val="645D78D2"/>
    <w:rsid w:val="64F3207D"/>
    <w:rsid w:val="653A62C6"/>
    <w:rsid w:val="68876011"/>
    <w:rsid w:val="68ED3886"/>
    <w:rsid w:val="690655CA"/>
    <w:rsid w:val="6E390C65"/>
    <w:rsid w:val="6EE3569A"/>
    <w:rsid w:val="6F303948"/>
    <w:rsid w:val="6FB00BF8"/>
    <w:rsid w:val="71DB7108"/>
    <w:rsid w:val="74726D1F"/>
    <w:rsid w:val="754274F3"/>
    <w:rsid w:val="7687740C"/>
    <w:rsid w:val="79412AC7"/>
    <w:rsid w:val="7E0566E2"/>
    <w:rsid w:val="7F2B366F"/>
    <w:rsid w:val="7FB3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9" w:lineRule="auto"/>
      <w:ind w:firstLine="0" w:firstLineChars="0"/>
      <w:jc w:val="left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ind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"/>
    <w:basedOn w:val="9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标题 2 字符"/>
    <w:basedOn w:val="9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1.png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3</Lines>
  <Paragraphs>1</Paragraphs>
  <TotalTime>19</TotalTime>
  <ScaleCrop>false</ScaleCrop>
  <LinksUpToDate>false</LinksUpToDate>
  <CharactersWithSpaces>557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2018-07-29T07:10:00Z</dcterms:created>
  <dc:creator>boyuanhuang</dc:creator>
  <cp:lastModifiedBy>boyuanhuang</cp:lastModifiedBy>
  <dcterms:modified xsi:type="dcterms:W3CDTF">2018-08-02T14:33:56Z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