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g1cdza963b" w:id="0"/>
      <w:bookmarkEnd w:id="0"/>
      <w:r w:rsidDel="00000000" w:rsidR="00000000" w:rsidRPr="00000000">
        <w:rPr>
          <w:rtl w:val="0"/>
        </w:rPr>
        <w:t xml:space="preserve">Presentation</w:t>
      </w:r>
    </w:p>
    <w:p w:rsidR="00000000" w:rsidDel="00000000" w:rsidP="00000000" w:rsidRDefault="00000000" w:rsidRPr="00000000" w14:paraId="00000002">
      <w:pPr>
        <w:rPr/>
      </w:pPr>
      <w:r w:rsidDel="00000000" w:rsidR="00000000" w:rsidRPr="00000000">
        <w:rPr>
          <w:rtl w:val="0"/>
        </w:rPr>
      </w:r>
    </w:p>
    <w:tbl>
      <w:tblPr>
        <w:tblStyle w:val="Table1"/>
        <w:tblpPr w:leftFromText="180" w:rightFromText="180" w:topFromText="180" w:bottomFromText="180" w:vertAnchor="text" w:horzAnchor="text" w:tblpX="1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Slide 6 is inspired by the study: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Aguayo-Orozco, A., Haue, A.D., Jørgensen, I.F. </w:t>
            </w:r>
            <w:r w:rsidDel="00000000" w:rsidR="00000000" w:rsidRPr="00000000">
              <w:rPr>
                <w:i w:val="1"/>
                <w:iCs w:val="1"/>
                <w:rtl w:val="0"/>
              </w:rPr>
              <w:t xml:space="preserve">et al.</w:t>
            </w:r>
            <w:r w:rsidDel="00000000" w:rsidR="00000000" w:rsidRPr="00000000">
              <w:rPr>
                <w:rtl w:val="0"/>
              </w:rPr>
              <w:t xml:space="preserve"> Optimizing drug selection from a prescription trajectory of one patient. </w:t>
            </w:r>
            <w:r w:rsidDel="00000000" w:rsidR="00000000" w:rsidRPr="00000000">
              <w:rPr>
                <w:i w:val="1"/>
                <w:iCs w:val="1"/>
                <w:rtl w:val="0"/>
              </w:rPr>
              <w:t xml:space="preserve">npj Digit. Med.</w:t>
            </w:r>
            <w:r w:rsidDel="00000000" w:rsidR="00000000" w:rsidRPr="00000000">
              <w:rPr>
                <w:rtl w:val="0"/>
              </w:rPr>
              <w:t xml:space="preserve"> </w:t>
            </w:r>
            <w:r w:rsidDel="00000000" w:rsidR="00000000" w:rsidRPr="00000000">
              <w:rPr>
                <w:b w:val="1"/>
                <w:bCs w:val="1"/>
                <w:rtl w:val="0"/>
              </w:rPr>
              <w:t xml:space="preserve">4</w:t>
            </w:r>
            <w:r w:rsidDel="00000000" w:rsidR="00000000" w:rsidRPr="00000000">
              <w:rPr>
                <w:rtl w:val="0"/>
              </w:rPr>
              <w:t xml:space="preserve">, 150 (2021). https://doi.org/10.1038/s41746-021-00522-4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From the abstract: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Among patients treated with agents acting on the renin-angiotensin system we identified four groups: patients prescribed angiotensin converting enzyme (ACE) inhibitor without change, angiotensin receptor blockers (ARBs) without change, ACE with posterior change to ARB, and ARB posteriorly changed to ACE. In an adjusted time-to-event analysis, individuals treated with ACE compared to those treated with ARB had lower survival probability (hazard ratio, 0.73 [95% CI, 0.64–0.82]; </w:t>
            </w:r>
            <w:r w:rsidDel="00000000" w:rsidR="00000000" w:rsidRPr="00000000">
              <w:rPr>
                <w:i w:val="1"/>
                <w:iCs w:val="1"/>
                <w:rtl w:val="0"/>
              </w:rPr>
              <w:t xml:space="preserve">P</w:t>
            </w:r>
            <w:r w:rsidDel="00000000" w:rsidR="00000000" w:rsidRPr="00000000">
              <w:rPr>
                <w:rtl w:val="0"/>
              </w:rPr>
              <w:t xml:space="preserve"> &lt; 1 × 10</w:t>
            </w:r>
            <w:r w:rsidDel="00000000" w:rsidR="00000000" w:rsidRPr="00000000">
              <w:rPr>
                <w:rFonts w:ascii="Arial Unicode MS" w:cs="Arial Unicode MS" w:eastAsia="Arial Unicode MS" w:hAnsi="Arial Unicode MS"/>
                <w:vertAlign w:val="superscript"/>
                <w:rtl w:val="0"/>
              </w:rPr>
              <w:t xml:space="preserve">−16</w:t>
            </w:r>
            <w:r w:rsidDel="00000000" w:rsidR="00000000" w:rsidRPr="00000000">
              <w:rPr>
                <w:rtl w:val="0"/>
              </w:rPr>
              <w:t xml:space="preserve">)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Slides 6 points out that in an estimand framework the treatment strategy ‘ACE with posterior change to ARB’ is ill-defined. The study has been subject to other criticism: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Christensen, D. M., Gislason, G., and Gerds, T. (2022). Matters arising: Immortal time bias in the analysis of drug prescription trajectories. NPJ digital medicine, 5(1):190</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rPr/>
      </w:pPr>
      <w:bookmarkStart w:colFirst="0" w:colLast="0" w:name="_2gxltbwj3zis" w:id="1"/>
      <w:bookmarkEnd w:id="1"/>
      <w:r w:rsidDel="00000000" w:rsidR="00000000" w:rsidRPr="00000000">
        <w:rPr>
          <w:rtl w:val="0"/>
        </w:rPr>
        <w:t xml:space="preserve">Case study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1.a. One could compare:</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‘FINAL’: the mean BMI at week 68 between the two groups.</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‘CHANGE’: the mean change in BMI at week 68 between the two groups.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‘ANCOVA’: the baseline adjusted mean BMI at week 68 between the two groups.</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There are many other possibilities: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‘Robust FINAL’ comparing median instead of mean.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‘Wilcoxon FINAL’ comparing ranks via the probability that a subject with the carbohydrate-reduced high-protein diet has a lower BMI at week 68 compared to a subject with the conventional diet.</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‘AUC’ comparing some kind of average BMI between the two groups. This however does not fit well with ‘the long-term effects are of most interest ’ as it does not put that much weight at week 68.</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We would need to ask the collaborator to be more precise about what she would like to compare.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Note 1: if we are willing to assume normally distributed measurements, the ANCOVA approach would probably be the most powerful. But statistical power may not be the only element that should guide the decision of the summary statistic.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Note 2: in term of statistical test, FINAL, CHANGE, and AUC can be done using t-test, ANCOVA using a linear regression, and Wilcoxon FINAL using a Wilcoxon test.</w:t>
            </w:r>
          </w:p>
        </w:tc>
      </w:tr>
    </w:tbl>
    <w:p w:rsidR="00000000" w:rsidDel="00000000" w:rsidP="00000000" w:rsidRDefault="00000000" w:rsidRPr="00000000" w14:paraId="00000023">
      <w:pPr>
        <w:rPr>
          <w:color w:val="d9d9d9"/>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1.b.</w:t>
            </w:r>
          </w:p>
          <w:p w:rsidR="00000000" w:rsidDel="00000000" w:rsidP="00000000" w:rsidRDefault="00000000" w:rsidRPr="00000000" w14:paraId="00000026">
            <w:pPr>
              <w:widowControl w:val="0"/>
              <w:numPr>
                <w:ilvl w:val="0"/>
                <w:numId w:val="8"/>
              </w:numPr>
              <w:spacing w:line="240" w:lineRule="auto"/>
              <w:ind w:left="720" w:hanging="360"/>
            </w:pPr>
            <w:r w:rsidDel="00000000" w:rsidR="00000000" w:rsidRPr="00000000">
              <w:rPr>
                <w:b w:val="1"/>
                <w:bCs w:val="1"/>
                <w:rtl w:val="0"/>
              </w:rPr>
              <w:t xml:space="preserve">the population of interest</w:t>
            </w:r>
            <w:r w:rsidDel="00000000" w:rsidR="00000000" w:rsidRPr="00000000">
              <w:rPr>
                <w:rtl w:val="0"/>
              </w:rPr>
              <w:t xml:space="preserve"> is relatively well defined by ‘individuals with type 2 diabetes and high BMI’. Further details are given in the protocol paper: “adult men or postmenopausal women &lt;76 years, diagnosed with T2D with a glycated haemoglobin (HbA</w:t>
            </w:r>
            <w:r w:rsidDel="00000000" w:rsidR="00000000" w:rsidRPr="00000000">
              <w:rPr>
                <w:vertAlign w:val="subscript"/>
                <w:rtl w:val="0"/>
              </w:rPr>
              <w:t xml:space="preserve">1c</w:t>
            </w:r>
            <w:r w:rsidDel="00000000" w:rsidR="00000000" w:rsidRPr="00000000">
              <w:rPr>
                <w:rtl w:val="0"/>
              </w:rPr>
              <w:t xml:space="preserve">) level of 48–75 mmol/mol and a BMI&gt;25 kg/m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27">
            <w:pPr>
              <w:widowControl w:val="0"/>
              <w:spacing w:line="240" w:lineRule="auto"/>
              <w:ind w:left="720" w:firstLine="0"/>
              <w:rPr/>
            </w:pPr>
            <w:r w:rsidDel="00000000" w:rsidR="00000000" w:rsidRPr="00000000">
              <w:rPr>
                <w:rtl w:val="0"/>
              </w:rPr>
              <w:t xml:space="preserve">-&gt; because of the exclusion of ‘young’ women the sample is not representative of the general population.</w:t>
            </w:r>
          </w:p>
          <w:p w:rsidR="00000000" w:rsidDel="00000000" w:rsidP="00000000" w:rsidRDefault="00000000" w:rsidRPr="00000000" w14:paraId="00000028">
            <w:pPr>
              <w:widowControl w:val="0"/>
              <w:spacing w:line="240" w:lineRule="auto"/>
              <w:ind w:left="720" w:firstLine="0"/>
              <w:rPr/>
            </w:pPr>
            <w:r w:rsidDel="00000000" w:rsidR="00000000" w:rsidRPr="00000000">
              <w:rPr>
                <w:rtl w:val="0"/>
              </w:rPr>
            </w:r>
          </w:p>
          <w:p w:rsidR="00000000" w:rsidDel="00000000" w:rsidP="00000000" w:rsidRDefault="00000000" w:rsidRPr="00000000" w14:paraId="00000029">
            <w:pPr>
              <w:widowControl w:val="0"/>
              <w:spacing w:line="240" w:lineRule="auto"/>
              <w:ind w:left="720" w:firstLine="0"/>
              <w:rPr/>
            </w:pPr>
            <w:r w:rsidDel="00000000" w:rsidR="00000000" w:rsidRPr="00000000">
              <w:rPr>
                <w:rtl w:val="0"/>
              </w:rPr>
              <w:t xml:space="preserve">An important precision could be whether they already are receiving medical care/medication or not. In the protocol paper: “Eligible participants are, who are being treated with or without glucose-lowering therapy limited to metformin, dipeptidyl peptidase 4 (DPP-4) inhibitors, sodium-glucose co-transporter 2 (SGLT-2) inhibitors and glucagon-like peptide 1 (GLP-1) receptor agonists, provided they have been under a stable medication dosage for at least 3 months prior to enrolment. “</w:t>
            </w:r>
          </w:p>
          <w:p w:rsidR="00000000" w:rsidDel="00000000" w:rsidP="00000000" w:rsidRDefault="00000000" w:rsidRPr="00000000" w14:paraId="0000002A">
            <w:pPr>
              <w:widowControl w:val="0"/>
              <w:spacing w:line="240" w:lineRule="auto"/>
              <w:ind w:left="720" w:firstLine="0"/>
              <w:rPr/>
            </w:pPr>
            <w:r w:rsidDel="00000000" w:rsidR="00000000" w:rsidRPr="00000000">
              <w:rPr>
                <w:rtl w:val="0"/>
              </w:rPr>
            </w:r>
          </w:p>
          <w:p w:rsidR="00000000" w:rsidDel="00000000" w:rsidP="00000000" w:rsidRDefault="00000000" w:rsidRPr="00000000" w14:paraId="0000002B">
            <w:pPr>
              <w:widowControl w:val="0"/>
              <w:numPr>
                <w:ilvl w:val="0"/>
                <w:numId w:val="8"/>
              </w:numPr>
              <w:spacing w:line="240" w:lineRule="auto"/>
              <w:ind w:left="720" w:hanging="360"/>
            </w:pPr>
            <w:r w:rsidDel="00000000" w:rsidR="00000000" w:rsidRPr="00000000">
              <w:rPr>
                <w:b w:val="1"/>
                <w:bCs w:val="1"/>
                <w:rtl w:val="0"/>
              </w:rPr>
              <w:t xml:space="preserve">treatment: </w:t>
            </w:r>
            <w:r w:rsidDel="00000000" w:rsidR="00000000" w:rsidRPr="00000000">
              <w:rPr>
                <w:rtl w:val="0"/>
              </w:rPr>
              <w:t xml:space="preserve">we have incomplete information about the treatment strategy as the collaborator has only been specific about ⅔ of the diet during week 0 to 52. But what about the other third and week 52 to 68? </w:t>
            </w:r>
          </w:p>
          <w:p w:rsidR="00000000" w:rsidDel="00000000" w:rsidP="00000000" w:rsidRDefault="00000000" w:rsidRPr="00000000" w14:paraId="0000002C">
            <w:pPr>
              <w:widowControl w:val="0"/>
              <w:spacing w:line="240" w:lineRule="auto"/>
              <w:ind w:left="720" w:firstLine="0"/>
              <w:rPr/>
            </w:pPr>
            <w:r w:rsidDel="00000000" w:rsidR="00000000" w:rsidRPr="00000000">
              <w:rPr>
                <w:rtl w:val="0"/>
              </w:rPr>
              <w:t xml:space="preserve">The protocol paper specifies: “To allow for options and flexibility, participants will be responsible for lunch (~35% of total daily energy intake) while still required to adhere to the macronutrient distribution.”</w:t>
            </w:r>
          </w:p>
          <w:p w:rsidR="00000000" w:rsidDel="00000000" w:rsidP="00000000" w:rsidRDefault="00000000" w:rsidRPr="00000000" w14:paraId="0000002D">
            <w:pPr>
              <w:widowControl w:val="0"/>
              <w:spacing w:line="240" w:lineRule="auto"/>
              <w:ind w:left="720" w:firstLine="0"/>
              <w:rPr/>
            </w:pPr>
            <w:r w:rsidDel="00000000" w:rsidR="00000000" w:rsidRPr="00000000">
              <w:rPr>
                <w:rtl w:val="0"/>
              </w:rPr>
              <w:t xml:space="preserve">Formally one could then distinguish between two treatments strategy:</w:t>
            </w:r>
          </w:p>
          <w:p w:rsidR="00000000" w:rsidDel="00000000" w:rsidP="00000000" w:rsidRDefault="00000000" w:rsidRPr="00000000" w14:paraId="0000002E">
            <w:pPr>
              <w:widowControl w:val="0"/>
              <w:numPr>
                <w:ilvl w:val="0"/>
                <w:numId w:val="7"/>
              </w:numPr>
              <w:spacing w:line="240" w:lineRule="auto"/>
              <w:ind w:left="1440" w:hanging="360"/>
              <w:rPr>
                <w:u w:val="none"/>
              </w:rPr>
            </w:pPr>
            <w:r w:rsidDel="00000000" w:rsidR="00000000" w:rsidRPr="00000000">
              <w:rPr>
                <w:rtl w:val="0"/>
              </w:rPr>
              <w:t xml:space="preserve">prescribing a conventional or </w:t>
            </w:r>
            <w:r w:rsidDel="00000000" w:rsidR="00000000" w:rsidRPr="00000000">
              <w:rPr>
                <w:rtl w:val="0"/>
              </w:rPr>
              <w:t xml:space="preserve">carbohydrate-reduced high-protein diet for all energy intake (intention to treat)</w:t>
            </w:r>
            <w:r w:rsidDel="00000000" w:rsidR="00000000" w:rsidRPr="00000000">
              <w:rPr>
                <w:rtl w:val="0"/>
              </w:rPr>
            </w:r>
          </w:p>
          <w:p w:rsidR="00000000" w:rsidDel="00000000" w:rsidP="00000000" w:rsidRDefault="00000000" w:rsidRPr="00000000" w14:paraId="0000002F">
            <w:pPr>
              <w:widowControl w:val="0"/>
              <w:numPr>
                <w:ilvl w:val="0"/>
                <w:numId w:val="7"/>
              </w:numPr>
              <w:spacing w:line="240" w:lineRule="auto"/>
              <w:ind w:left="1440" w:hanging="360"/>
            </w:pPr>
            <w:r w:rsidDel="00000000" w:rsidR="00000000" w:rsidRPr="00000000">
              <w:rPr>
                <w:rtl w:val="0"/>
              </w:rPr>
              <w:t xml:space="preserve">adhering to a conventional or carbohydrate-reduced high-protein diet for all energy intake (per protocol)</w:t>
            </w:r>
          </w:p>
          <w:p w:rsidR="00000000" w:rsidDel="00000000" w:rsidP="00000000" w:rsidRDefault="00000000" w:rsidRPr="00000000" w14:paraId="00000030">
            <w:pPr>
              <w:widowControl w:val="0"/>
              <w:spacing w:line="240" w:lineRule="auto"/>
              <w:ind w:left="0" w:firstLine="0"/>
              <w:rPr/>
            </w:pPr>
            <w:r w:rsidDel="00000000" w:rsidR="00000000" w:rsidRPr="00000000">
              <w:rPr>
                <w:rtl w:val="0"/>
              </w:rPr>
              <w:t xml:space="preserve">           But in the ideal study (full adherence) the two are equivalent.</w:t>
            </w:r>
          </w:p>
          <w:p w:rsidR="00000000" w:rsidDel="00000000" w:rsidP="00000000" w:rsidRDefault="00000000" w:rsidRPr="00000000" w14:paraId="00000031">
            <w:pPr>
              <w:widowControl w:val="0"/>
              <w:spacing w:line="240" w:lineRule="auto"/>
              <w:ind w:left="0" w:firstLine="0"/>
              <w:rPr/>
            </w:pPr>
            <w:r w:rsidDel="00000000" w:rsidR="00000000" w:rsidRPr="00000000">
              <w:rPr>
                <w:rtl w:val="0"/>
              </w:rPr>
            </w:r>
          </w:p>
          <w:p w:rsidR="00000000" w:rsidDel="00000000" w:rsidP="00000000" w:rsidRDefault="00000000" w:rsidRPr="00000000" w14:paraId="00000032">
            <w:pPr>
              <w:widowControl w:val="0"/>
              <w:numPr>
                <w:ilvl w:val="0"/>
                <w:numId w:val="8"/>
              </w:numPr>
              <w:spacing w:line="240" w:lineRule="auto"/>
              <w:ind w:left="720" w:hanging="360"/>
            </w:pPr>
            <w:r w:rsidDel="00000000" w:rsidR="00000000" w:rsidRPr="00000000">
              <w:rPr>
                <w:b w:val="1"/>
                <w:bCs w:val="1"/>
                <w:rtl w:val="0"/>
              </w:rPr>
              <w:t xml:space="preserve">variable of interest: </w:t>
            </w:r>
            <w:r w:rsidDel="00000000" w:rsidR="00000000" w:rsidRPr="00000000">
              <w:rPr>
                <w:rtl w:val="0"/>
              </w:rPr>
              <w:t xml:space="preserve">here there can be a bit of confusion as the research question mentions weight loss but the graphic and question 1a mention BMI. </w:t>
            </w:r>
          </w:p>
          <w:p w:rsidR="00000000" w:rsidDel="00000000" w:rsidP="00000000" w:rsidRDefault="00000000" w:rsidRPr="00000000" w14:paraId="00000033">
            <w:pPr>
              <w:widowControl w:val="0"/>
              <w:spacing w:line="240" w:lineRule="auto"/>
              <w:ind w:left="720" w:firstLine="0"/>
              <w:rPr/>
            </w:pPr>
            <w:r w:rsidDel="00000000" w:rsidR="00000000" w:rsidRPr="00000000">
              <w:rPr>
                <w:rtl w:val="0"/>
              </w:rPr>
              <w:t xml:space="preserve">-&gt; it is important to clarify with the collaborator whether it is weight loss (in kg) or BMI that is of primary interest. Probably the other one is for secondary analyses.</w:t>
            </w:r>
          </w:p>
          <w:p w:rsidR="00000000" w:rsidDel="00000000" w:rsidP="00000000" w:rsidRDefault="00000000" w:rsidRPr="00000000" w14:paraId="00000034">
            <w:pPr>
              <w:widowControl w:val="0"/>
              <w:numPr>
                <w:ilvl w:val="0"/>
                <w:numId w:val="8"/>
              </w:numPr>
              <w:spacing w:line="240" w:lineRule="auto"/>
              <w:ind w:left="720" w:hanging="360"/>
            </w:pPr>
            <w:r w:rsidDel="00000000" w:rsidR="00000000" w:rsidRPr="00000000">
              <w:rPr>
                <w:b w:val="1"/>
                <w:bCs w:val="1"/>
                <w:rtl w:val="0"/>
              </w:rPr>
              <w:t xml:space="preserve">intercurrent event handling: </w:t>
            </w:r>
            <w:r w:rsidDel="00000000" w:rsidR="00000000" w:rsidRPr="00000000">
              <w:rPr>
                <w:rtl w:val="0"/>
              </w:rPr>
              <w:t xml:space="preserve">no intercurrent events in this ideal study.</w:t>
            </w:r>
            <w:r w:rsidDel="00000000" w:rsidR="00000000" w:rsidRPr="00000000">
              <w:rPr>
                <w:rtl w:val="0"/>
              </w:rPr>
            </w:r>
          </w:p>
          <w:p w:rsidR="00000000" w:rsidDel="00000000" w:rsidP="00000000" w:rsidRDefault="00000000" w:rsidRPr="00000000" w14:paraId="00000035">
            <w:pPr>
              <w:widowControl w:val="0"/>
              <w:numPr>
                <w:ilvl w:val="0"/>
                <w:numId w:val="8"/>
              </w:numPr>
              <w:spacing w:line="240" w:lineRule="auto"/>
              <w:ind w:left="720" w:hanging="360"/>
            </w:pPr>
            <w:r w:rsidDel="00000000" w:rsidR="00000000" w:rsidRPr="00000000">
              <w:rPr>
                <w:b w:val="1"/>
                <w:bCs w:val="1"/>
                <w:rtl w:val="0"/>
              </w:rPr>
              <w:t xml:space="preserve">summary measure:</w:t>
            </w:r>
            <w:r w:rsidDel="00000000" w:rsidR="00000000" w:rsidRPr="00000000">
              <w:rPr>
                <w:rtl w:val="0"/>
              </w:rPr>
              <w:t xml:space="preserve"> see question 1a)</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 Now it is important to distinguish between the intention to treat analysis (ITT) and the per protocol analysis (PP).</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in the ITT, the observed outcome of retrieved drop-out is ‘valid’ so we only need to handle the missing value in the ‘non-retrieved’ drop-out. We could use a statistical model to use the retrieved drop-out’ to either represent the ‘non-retrieved’ drop-out or guess their value.</w:t>
            </w:r>
          </w:p>
          <w:p w:rsidR="00000000" w:rsidDel="00000000" w:rsidP="00000000" w:rsidRDefault="00000000" w:rsidRPr="00000000" w14:paraId="0000003A">
            <w:pPr>
              <w:ind w:left="720" w:firstLine="0"/>
              <w:rPr/>
            </w:pPr>
            <w:r w:rsidDel="00000000" w:rsidR="00000000" w:rsidRPr="00000000">
              <w:rPr>
                <w:rtl w:val="0"/>
              </w:rPr>
              <w:t xml:space="preserve">So we would use treatment policy to handle non-adherence and a hypothetical strategy to handle missing data (what would have happened had the non-retrieved drop-out come to the last visit)</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in the PP, the observed outcome of retrieved drop-out is ‘invalid’ as we would like to compare had the retrieved drop-out had adhered to the diet. So we don’t want to use the treatment policy for non-adherence.</w:t>
            </w:r>
          </w:p>
          <w:p w:rsidR="00000000" w:rsidDel="00000000" w:rsidP="00000000" w:rsidRDefault="00000000" w:rsidRPr="00000000" w14:paraId="0000003C">
            <w:pPr>
              <w:ind w:left="720" w:firstLine="0"/>
              <w:rPr/>
            </w:pPr>
            <w:r w:rsidDel="00000000" w:rsidR="00000000" w:rsidRPr="00000000">
              <w:rPr>
                <w:rtl w:val="0"/>
              </w:rPr>
              <w:t xml:space="preserve">Ideally we would like to use the hypothetical strategy ‘had everybody adhere to the diet specified by randomization’. If non-adherence occurred at random we could ‘just’ treat as missing the retrieved drop-out values and use a statistical model to handle missing data.</w:t>
            </w:r>
          </w:p>
          <w:p w:rsidR="00000000" w:rsidDel="00000000" w:rsidP="00000000" w:rsidRDefault="00000000" w:rsidRPr="00000000" w14:paraId="0000003D">
            <w:pPr>
              <w:ind w:left="720" w:firstLine="0"/>
              <w:rPr/>
            </w:pPr>
            <w:r w:rsidDel="00000000" w:rsidR="00000000" w:rsidRPr="00000000">
              <w:rPr>
                <w:rtl w:val="0"/>
              </w:rPr>
              <w:t xml:space="preserve">But in practice this assumption would be very questionable: e.g. maybe the diet leads to digestion issues for a vulnerable sub-subpopulation. So we should discuss with the collaborator possible reasons and related variables that could explain non-adherence.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0" w:firstLine="0"/>
              <w:rPr/>
            </w:pPr>
            <w:r w:rsidDel="00000000" w:rsidR="00000000" w:rsidRPr="00000000">
              <w:rPr>
                <w:rtl w:val="0"/>
              </w:rPr>
              <w:t xml:space="preserve">3. Other possible incurrent events:</w:t>
            </w:r>
          </w:p>
          <w:p w:rsidR="00000000" w:rsidDel="00000000" w:rsidP="00000000" w:rsidRDefault="00000000" w:rsidRPr="00000000" w14:paraId="00000042">
            <w:pPr>
              <w:ind w:left="720" w:firstLine="0"/>
              <w:rPr/>
            </w:pPr>
            <w:r w:rsidDel="00000000" w:rsidR="00000000" w:rsidRPr="00000000">
              <w:rPr>
                <w:rtl w:val="0"/>
              </w:rPr>
              <w:t xml:space="preserve">In the protocol paper</w:t>
            </w:r>
          </w:p>
          <w:p w:rsidR="00000000" w:rsidDel="00000000" w:rsidP="00000000" w:rsidRDefault="00000000" w:rsidRPr="00000000" w14:paraId="00000043">
            <w:pPr>
              <w:numPr>
                <w:ilvl w:val="0"/>
                <w:numId w:val="1"/>
              </w:numPr>
              <w:ind w:left="1440" w:hanging="360"/>
            </w:pPr>
            <w:r w:rsidDel="00000000" w:rsidR="00000000" w:rsidRPr="00000000">
              <w:rPr>
                <w:rtl w:val="0"/>
              </w:rPr>
              <w:t xml:space="preserve">repeated weekly alcohol consumption more than the national recommendation of maximum 120 g (or 48 g for 1 day)</w:t>
            </w:r>
          </w:p>
          <w:p w:rsidR="00000000" w:rsidDel="00000000" w:rsidP="00000000" w:rsidRDefault="00000000" w:rsidRPr="00000000" w14:paraId="00000044">
            <w:pPr>
              <w:numPr>
                <w:ilvl w:val="0"/>
                <w:numId w:val="1"/>
              </w:numPr>
              <w:ind w:left="1440" w:hanging="360"/>
            </w:pPr>
            <w:r w:rsidDel="00000000" w:rsidR="00000000" w:rsidRPr="00000000">
              <w:rPr>
                <w:rtl w:val="0"/>
              </w:rPr>
              <w:t xml:space="preserve">strong opposition against following the allocated diet (not including decreasing adherence)</w:t>
            </w:r>
          </w:p>
          <w:p w:rsidR="00000000" w:rsidDel="00000000" w:rsidP="00000000" w:rsidRDefault="00000000" w:rsidRPr="00000000" w14:paraId="00000045">
            <w:pPr>
              <w:numPr>
                <w:ilvl w:val="0"/>
                <w:numId w:val="1"/>
              </w:numPr>
              <w:ind w:left="1440" w:hanging="360"/>
            </w:pPr>
            <w:r w:rsidDel="00000000" w:rsidR="00000000" w:rsidRPr="00000000">
              <w:rPr>
                <w:rtl w:val="0"/>
              </w:rPr>
              <w:t xml:space="preserve">motivation towards other eating patterns conflicting with the allocated diet </w:t>
            </w:r>
          </w:p>
          <w:p w:rsidR="00000000" w:rsidDel="00000000" w:rsidP="00000000" w:rsidRDefault="00000000" w:rsidRPr="00000000" w14:paraId="00000046">
            <w:pPr>
              <w:numPr>
                <w:ilvl w:val="0"/>
                <w:numId w:val="1"/>
              </w:numPr>
              <w:ind w:left="1440" w:hanging="360"/>
            </w:pPr>
            <w:r w:rsidDel="00000000" w:rsidR="00000000" w:rsidRPr="00000000">
              <w:rPr>
                <w:rtl w:val="0"/>
              </w:rPr>
              <w:t xml:space="preserve">relocation to an area not supported by the meal kit delivery service </w:t>
            </w:r>
          </w:p>
          <w:p w:rsidR="00000000" w:rsidDel="00000000" w:rsidP="00000000" w:rsidRDefault="00000000" w:rsidRPr="00000000" w14:paraId="00000047">
            <w:pPr>
              <w:rPr/>
            </w:pPr>
            <w:r w:rsidDel="00000000" w:rsidR="00000000" w:rsidRPr="00000000">
              <w:rPr>
                <w:rtl w:val="0"/>
              </w:rPr>
              <w:tab/>
              <w:t xml:space="preserve">Others</w:t>
            </w:r>
          </w:p>
          <w:p w:rsidR="00000000" w:rsidDel="00000000" w:rsidP="00000000" w:rsidRDefault="00000000" w:rsidRPr="00000000" w14:paraId="00000048">
            <w:pPr>
              <w:numPr>
                <w:ilvl w:val="0"/>
                <w:numId w:val="1"/>
              </w:numPr>
              <w:ind w:left="1440" w:hanging="360"/>
            </w:pPr>
            <w:r w:rsidDel="00000000" w:rsidR="00000000" w:rsidRPr="00000000">
              <w:rPr>
                <w:rtl w:val="0"/>
              </w:rPr>
              <w:t xml:space="preserve">forgot a visit</w:t>
            </w:r>
          </w:p>
          <w:p w:rsidR="00000000" w:rsidDel="00000000" w:rsidP="00000000" w:rsidRDefault="00000000" w:rsidRPr="00000000" w14:paraId="00000049">
            <w:pPr>
              <w:numPr>
                <w:ilvl w:val="0"/>
                <w:numId w:val="4"/>
              </w:numPr>
              <w:ind w:left="1440" w:hanging="360"/>
            </w:pPr>
            <w:r w:rsidDel="00000000" w:rsidR="00000000" w:rsidRPr="00000000">
              <w:rPr>
                <w:rtl w:val="0"/>
              </w:rPr>
              <w:t xml:space="preserve">start of a rescue medication</w:t>
            </w:r>
          </w:p>
          <w:p w:rsidR="00000000" w:rsidDel="00000000" w:rsidP="00000000" w:rsidRDefault="00000000" w:rsidRPr="00000000" w14:paraId="0000004A">
            <w:pPr>
              <w:numPr>
                <w:ilvl w:val="0"/>
                <w:numId w:val="4"/>
              </w:numPr>
              <w:ind w:left="1440" w:hanging="360"/>
            </w:pPr>
            <w:r w:rsidDel="00000000" w:rsidR="00000000" w:rsidRPr="00000000">
              <w:rPr>
                <w:rtl w:val="0"/>
              </w:rPr>
              <w:t xml:space="preserve">death of some participants (unlikely)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144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