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Pillerdeki cıva, kadmiyum, kurşun, nikel gibi ağır metaller ve aşındırıcı elektrolitler toprağa ve suya karışarak canlıların vücudunda birikebilir. Tek kullanımlık piller hem kaynak israfına hem de tehlikeli atık oluşmasına yol açtığından sürdürülebilir değildir.)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Kullanılan ve atılan pil sayısı azalır, kaynaklar korunur, pil atıklarının çevreye zararı azalır.)</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(Örnek: pencere camları ve bina cepheleri, giyilebilir teknolojiler, saatler, kumandalar, kapalı ortamdaki sensörler, çanta ve telefon kılıfları.)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Kapalı uçlu kısımlar: Ölçüm tablosundaki verimler (η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100 mW/cm² · 100): böğürtlen %0,60; karadut %0,71; kırmızı lahana %0,30; ıspanak %0,18; zerdeçal %0,25; sentetik rutenyum kompleksi %8,06; böğürtlen + gümüş nanoparçacık %0,77. Işık şiddeti tablosu: Işık gücü 1000 W/m²’den 10 W/m²’ye düştüğünde silisyum hücrenin verimi %20,0’dan %12,0’ye azalır; boyaya duyarlı hücrenin verimi %10,0’dan %11,8’e çıkar, yani düşük ışıktan çok az etkilenir. Doğal boyalar arasında en yüksek verim karadut, en düşük verim ıspanak özütüyle elde edilmiştir. Gümüş nanoparçacık eklenince açık devre gerilimi (0,52 → 0,53 V) ve özellikle kısa devre akım yoğunluğu (2,10 → 2,60 mA/cm²) artmış, verim yükselmiştir. Kutudaki maddeler sorusu: Silisyum ve titanyum dioksit bol ve ucuzdur (silisyumun güneş pili saflığına getirilmesi ise çok enerji gerektirir); rutenyum, platin ve tellür nadir ve pahalıdır; kadmiyum zehirlidir. Nadir ve pahalı maddeler maliyeti artırıp yaygınlaşmayı sınırlar, zehirli maddeler üretim ve atık aşamasında çevre riski oluşturur. Kendi hücresinin verimi: Ölçülen en yüksek güç (P = V · I) hücreye gelen ışık gücüne (ışık gücü · yüzey alanı) bölünüp 100 ile çarpılarak hesaplanır; doğal boyalı hücrelerde genellikle %1’in altında bir değer beklenir.</w:t>
      </w:r>
    </w:p>
    <w:p>
      <w:pPr>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0,45 V · 3,2 mA = 1,44 mW;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2,0 cm² = 200 mW; η = (1,44 / 200) · 100 = %0,72</w:t>
      </w:r>
    </w:p>
    <w:p>
      <w:pPr>
        <w:jc w:val="both"/>
        <w:rPr>
          <w:rFonts w:ascii="Times New Roman" w:hAnsi="Times New Roman" w:cs="Times New Roman"/>
          <w:lang w:val="tr-TR"/>
        </w:rPr>
      </w:pPr>
      <w:r>
        <w:rPr>
          <w:rFonts w:ascii="Times New Roman" w:hAnsi="Times New Roman" w:cs="Times New Roman"/>
          <w:lang w:val="tr-TR"/>
        </w:rPr>
        <w:t xml:space="preserve">3.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0,50 V · 4,0 mA · 0,60 = 1,2 mW;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200 mW; η = (1,2 / 200) · 100 = %0,60</w:t>
      </w:r>
    </w:p>
    <w:p>
      <w:pPr>
        <w:jc w:val="both"/>
        <w:rPr>
          <w:rFonts w:ascii="Times New Roman" w:hAnsi="Times New Roman" w:cs="Times New Roman"/>
          <w:lang w:val="tr-TR"/>
        </w:rPr>
      </w:pPr>
      <w:r>
        <w:rPr>
          <w:rFonts w:ascii="Times New Roman" w:hAnsi="Times New Roman" w:cs="Times New Roman"/>
          <w:lang w:val="tr-TR"/>
        </w:rPr>
        <w:t xml:space="preserve">4. Kırmızı gül yaprağı özütündeki antosiyaninlerin yan yana bulunan –OH grupları titanyum dioksit yüzeyine bağlanır; boya yüzeye sıkıca tutunur ve uyarılmış boyadan titanyum dioksite elektron geçişi kolaylaşır. Maydanozdaki klorofilde bu tür bağlanma grupları bulunmadığından yüzeye tutunma ve elektron aktarımı zayıftır; bu nedenle verim düşüktür.</w:t>
      </w:r>
    </w:p>
    <w:p>
      <w:pPr>
        <w:jc w:val="both"/>
        <w:rPr>
          <w:rFonts w:ascii="Times New Roman" w:hAnsi="Times New Roman" w:cs="Times New Roman"/>
          <w:lang w:val="tr-TR"/>
        </w:rPr>
      </w:pPr>
      <w:r>
        <w:rPr>
          <w:rFonts w:ascii="Times New Roman" w:hAnsi="Times New Roman" w:cs="Times New Roman"/>
          <w:lang w:val="tr-TR"/>
        </w:rPr>
        <w:t xml:space="preserve">5. Her ikisi de ışığı soğurarak elektron kaybeden maddeye (klorofil / boya) elektron vererek onu ilk hâline döndürür. Fotosentezde su yükseltgenir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su tükenir. Boyaya duyarlı pilde 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karşı elektrotta dış devreden gelen elektronlarla yeniden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indirgenir, yani elektrolit harcanmaz, döngü hâlinde çalışır.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Çatıya doğrudan güneş ışığı aldığı ve yüksek verim önemli olduğu için silisyum paneller; kuzeye bakan pencerelere yarı saydam olduğu, dağınık ışıkta verimini koruduğu ve düşük enerjiyle üretildiği için boyaya duyarlı güneş pilleri. Ömür, elektrolit sızıntısı ve atık yönetimi gibi sınırlılıklara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Kapalı uçlu kısımlar: Polisakkaritler: selüloz (glikoz), nişasta (glikoz), pektin (galakturonik asit), kitosan (glukozamin). Proteinler: jelatin, kolajen, glüten, soya proteini (amino asitler). Ortaklık: Hepsi bitki ya da hayvan kaynaklıdır (biyokütle, tarımsal kaynak); toprakta mikroorganizmalarca parçalanırlar. Hazır veri seti: Gliserin miktarı arttıkça esneklik, suda şişme ve toprakta kütle kaybı artar; suda dağılma süresi kısalır. Bileşen görevleri: nişasta ana polimer, su çözücü ve jelleştirici ortam, sirke daha düzgün ve daha az kırılgan film, gliserin plastikleştirici. Biyomalzeme sorusu: Yenilebilir filmlerin, dikiş malzemelerinin ve vücutta bozunan stentlerin işlevini tamamladıktan sonra bozunması; sentetik damar, protez, implant ve diş tellerinin ise uzun süre bozunmadan kalması gerekir.</w:t>
      </w:r>
    </w:p>
    <w:p>
      <w:pPr>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Y, Y, D, D, D</w:t>
      </w:r>
    </w:p>
    <w:p>
      <w:pPr>
        <w:jc w:val="both"/>
        <w:rPr>
          <w:rFonts w:ascii="Times New Roman" w:hAnsi="Times New Roman" w:cs="Times New Roman"/>
          <w:lang w:val="tr-TR"/>
        </w:rPr>
      </w:pPr>
      <w:r>
        <w:rPr>
          <w:rFonts w:ascii="Times New Roman" w:hAnsi="Times New Roman" w:cs="Times New Roman"/>
          <w:lang w:val="tr-TR"/>
        </w:rPr>
        <w:t xml:space="preserve">2. Şişme (%) = [(1,40 − 0,80) / 0,80] · 100 = %75</w:t>
      </w:r>
    </w:p>
    <w:p>
      <w:pPr>
        <w:jc w:val="both"/>
        <w:rPr>
          <w:rFonts w:ascii="Times New Roman" w:hAnsi="Times New Roman" w:cs="Times New Roman"/>
          <w:lang w:val="tr-TR"/>
        </w:rPr>
      </w:pPr>
      <w:r>
        <w:rPr>
          <w:rFonts w:ascii="Times New Roman" w:hAnsi="Times New Roman" w:cs="Times New Roman"/>
          <w:lang w:val="tr-TR"/>
        </w:rPr>
        <w:t xml:space="preserve">3. Kütle kaybı (%) = [(2,40 − 0,60) / 2,40] · 100 = %75</w:t>
      </w:r>
    </w:p>
    <w:p>
      <w:pPr>
        <w:jc w:val="both"/>
        <w:rPr>
          <w:rFonts w:ascii="Times New Roman" w:hAnsi="Times New Roman" w:cs="Times New Roman"/>
          <w:lang w:val="tr-TR"/>
        </w:rPr>
      </w:pPr>
      <w:r>
        <w:rPr>
          <w:rFonts w:ascii="Times New Roman" w:hAnsi="Times New Roman" w:cs="Times New Roman"/>
          <w:lang w:val="tr-TR"/>
        </w:rPr>
        <w:t xml:space="preserve">4. B filmi önerilir: Saydamdır, esnektir ve kırılmadan 10 kez katlanabilir. A kırılgan ve bulanık, C yapışkan ve suda çabuk dağılan, D opak olduğu için amaca uygun değildir. (Esnekliği biraz artırmak için gliserin miktarının 3 mL ile 7 mL arasında bir değere çıkarılıp denenmesi de gerekçeli olarak kabul edilir.)</w:t>
      </w:r>
    </w:p>
    <w:p>
      <w:pPr>
        <w:jc w:val="both"/>
        <w:rPr>
          <w:rFonts w:ascii="Times New Roman" w:hAnsi="Times New Roman" w:cs="Times New Roman"/>
          <w:lang w:val="tr-TR"/>
        </w:rPr>
      </w:pPr>
      <w:r>
        <w:rPr>
          <w:rFonts w:ascii="Times New Roman" w:hAnsi="Times New Roman" w:cs="Times New Roman"/>
          <w:lang w:val="tr-TR"/>
        </w:rPr>
        <w:t xml:space="preserve">5. Gliserin üç –OH grubu taşıyan küçük bir moleküldür. Nişasta zincirleri arasına girip zincirlerle hidrojen bağı yaparak zincirlerin birbirine tutunmasını zayıflatır; zincirler birbiri üzerinden kolayca kayar ve film esnekleşir. –OH grupları su molekülleriyle de hidrojen bağı yaptığından gliserin suyu çeker; film suda daha çok şişer ve daha hızlı dağılır.</w:t>
      </w:r>
    </w:p>
    <w:p>
      <w:pPr>
        <w:jc w:val="both"/>
        <w:rPr>
          <w:rFonts w:ascii="Times New Roman" w:hAnsi="Times New Roman" w:cs="Times New Roman"/>
          <w:lang w:val="tr-TR"/>
        </w:rPr>
      </w:pPr>
      <w:r>
        <w:rPr>
          <w:rFonts w:ascii="Times New Roman" w:hAnsi="Times New Roman" w:cs="Times New Roman"/>
          <w:lang w:val="tr-TR"/>
        </w:rPr>
        <w:t xml:space="preserve">6. Şeker kamışı kaynaklı polietilen: biyokaynaklı. Nişasta, PLA ve jelatin: hem biyokaynaklı hem biyobozunur. Petrol kaynaklı biyobozunur polyester: biyobozunur.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İddiaların değerlendirilmesi için beklenen: 1. Kanıta dayanmaz; uygulamanın amacı ve kaynak tüketimi değerlendirilmelidir. 2. Kısmen kanıta dayanır; tahminler deneyle doğrulanmalıdır, modelin eğitimi de enerji tüketir. 3. Kanıta dayanmaz; su tüketimi, donanım üretimi ve elektronik atık gibi etkiler sürer. 4. Kanıta dayanmaz; öğrenme ve beceri gelişimi engellenir, emeğin sahipliği açısından etik sorun oluşur.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1-ç, 2-a, 3-b, 4-c</w:t>
      </w:r>
    </w:p>
    <w:p>
      <w:pPr>
        <w:jc w:val="both"/>
        <w:rPr>
          <w:rFonts w:ascii="Times New Roman" w:hAnsi="Times New Roman" w:cs="Times New Roman"/>
          <w:lang w:val="tr-TR"/>
        </w:rPr>
      </w:pPr>
      <w:r>
        <w:rPr>
          <w:rFonts w:ascii="Times New Roman" w:hAnsi="Times New Roman" w:cs="Times New Roman"/>
          <w:lang w:val="tr-TR"/>
        </w:rPr>
        <w:t xml:space="preserve">2. a. Olası katkı b) Olası risk c) Olası katkı ç) Olası risk d) Olası risk</w:t>
      </w:r>
    </w:p>
    <w:p>
      <w:pPr>
        <w:jc w:val="both"/>
        <w:rPr>
          <w:rFonts w:ascii="Times New Roman" w:hAnsi="Times New Roman" w:cs="Times New Roman"/>
          <w:lang w:val="tr-TR"/>
        </w:rPr>
      </w:pPr>
      <w:r>
        <w:rPr>
          <w:rFonts w:ascii="Times New Roman" w:hAnsi="Times New Roman" w:cs="Times New Roman"/>
          <w:lang w:val="tr-TR"/>
        </w:rPr>
        <w:t xml:space="preserve">3. Soğutma için kullanılan elektrik = 50 GWh · (40 / 100) = 20 GWh; soğutmadaki azalma = 20 GWh · (30 / 100) = 6 GWh. Yeni yıllık tüketim = 50 GWh − 6 GWh = 44 GWh. Toplam tüketimdeki azalma = (6 / 50) · 100 = %12.</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Beklenen: İddiaya katılınmaz. Verimlilik artışı bir hizmeti ucuzlatıp kullanımını artırabilir; tasarrufun bir kısmı kaybolur. Ayrıca veri merkezlerinin elektrik tüketimi hızla artmaktadır (IEA’ya göre 2030’a kadar iki katından fazla). Toplam etki, sağlanan tasarruf ile yapay zekânın kendi tüketiminin karşılaştırılmasıyla belirlenebilir.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Daha az deneme ve atık, daha az enerji ve çözücü, daha güvenli çözücü/katalizör seçimi (atık önleme, kataliz, enerji verimliliği, daha güvenli çözücüler ilkeleri). Dikkat edilecekler: tahminlerin deneyle doğrulanması, verilerin güvenilirliği, modelin enerji tüketimi, zehirlilik ve güvenlik denetimlerinin atlanmaması.</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3.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2,0 cm² = 200 mW. Siyah havuç: 0,40 · 3,00 = 1,20 mW → %0,60. Vişne: 0,35 · 2,00 = 0,70 mW → %0,35. Kırmızı soğan kabuğu: 0,40 · 1,25 = 0,50 mW → %0,25. Maydanoz: 0,25 · 0,80 = 0,20 mW → %0,10. Sıralama: siyah havuç &gt; vişne &gt; kırmızı soğan kabuğu &gt; maydanoz.</w:t>
      </w:r>
    </w:p>
    <w:p>
      <w:pPr>
        <w:jc w:val="both"/>
      </w:pPr>
      <w:r>
        <w:rPr>
          <w:rFonts w:ascii="Times New Roman" w:hAnsi="Times New Roman" w:cs="Times New Roman"/>
          <w:b/>
          <w:sz w:val="24"/>
        </w:rPr>
        <w:t xml:space="preserve">2. </w:t>
      </w:r>
      <w:r>
        <w:rPr>
          <w:rFonts w:ascii="Times New Roman" w:hAnsi="Times New Roman" w:cs="Times New Roman"/>
          <w:lang w:val="tr-TR"/>
        </w:rPr>
        <w:t xml:space="preserve">Doluluk faktörü = 1,20 mW / (0,50 V · 4,0 mA) = 1,20 / 2,0 = 0,60. Hücreden alınabilen en yüksek güç, açık devre gerilimi ile kısa devre akımının çarpımından küçüktür; doluluk faktörü 1’den uzaklaştıkça hücrenin iç kayıpları artar.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Antosiyaninlerin yapısındaki yan yana bulunan –OH grupları titanyum iyonlarına bağlanarak boyanın TiO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yüzeyine sıkıca tutunmasını sağlar; uyarılmış boyadan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’ye elektron geçişi kolaylaşır. Klorofilde bu tür bağlanma grupları bulunmadığı için elektron aktarımı zayıftır ve verim düşük kalır.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Işık şiddeti kontrol edilmemiştir; hücreye gelen ışığın gücü bilinmeden verim doğru hesaplanamaz ve diğer hücrelerle karşılaştırılamaz. Ölçüm aynı lamba altında, aynı uzaklıkta, 100 mW/cm² ışık gücünde (ışık sensörüyle doğrulanarak) yapılmalı; hücre yüzey alanı aynı olmalı, ölçümler en az üç kez tekrarlanıp ortalaması alınmalıdır.</w:t>
      </w:r>
    </w:p>
    <w:p>
      <w:pPr>
        <w:jc w:val="both"/>
      </w:pPr>
      <w:r>
        <w:rPr>
          <w:rFonts w:ascii="Times New Roman" w:hAnsi="Times New Roman" w:cs="Times New Roman"/>
          <w:b/>
          <w:sz w:val="24"/>
        </w:rPr>
        <w:t xml:space="preserve">5. </w:t>
      </w:r>
      <w:r>
        <w:rPr>
          <w:rFonts w:ascii="Times New Roman" w:hAnsi="Times New Roman" w:cs="Times New Roman"/>
          <w:lang w:val="tr-TR"/>
        </w:rPr>
        <w:t xml:space="preserve">B (Gümüş nanoparçacıklar belirli dalga boylarındaki ışıkla güçlü etkileşerek çevrelerindeki boya moleküllerinin daha fazla ışık soğurmasına yardımcı olur; kısa devre akımı ve verim artabilir.)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D, Y, D, Y, Y</w:t>
      </w:r>
    </w:p>
    <w:p>
      <w:pPr>
        <w:jc w:val="both"/>
      </w:pPr>
      <w:r>
        <w:rPr>
          <w:rFonts w:ascii="Times New Roman" w:hAnsi="Times New Roman" w:cs="Times New Roman"/>
          <w:b/>
          <w:sz w:val="24"/>
        </w:rPr>
        <w:t xml:space="preserve">7. </w:t>
      </w:r>
      <w:r>
        <w:rPr>
          <w:rFonts w:ascii="Times New Roman" w:hAnsi="Times New Roman" w:cs="Times New Roman"/>
          <w:lang w:val="tr-TR"/>
        </w:rPr>
        <w:t xml:space="preserve">B - II</w:t>
      </w:r>
    </w:p>
    <w:p>
      <w:pPr>
        <w:jc w:val="both"/>
      </w:pPr>
      <w:r>
        <w:rPr>
          <w:rFonts w:ascii="Times New Roman" w:hAnsi="Times New Roman" w:cs="Times New Roman"/>
          <w:b/>
          <w:sz w:val="24"/>
        </w:rPr>
        <w:t xml:space="preserve">8. </w:t>
      </w:r>
      <w:r>
        <w:rPr>
          <w:rFonts w:ascii="Times New Roman" w:hAnsi="Times New Roman" w:cs="Times New Roman"/>
          <w:lang w:val="tr-TR"/>
        </w:rPr>
        <w:t xml:space="preserve">1-a, 2-b, 3-c, 4-ç</w:t>
      </w:r>
    </w:p>
    <w:p>
      <w:pPr>
        <w:jc w:val="both"/>
      </w:pPr>
      <w:r>
        <w:rPr>
          <w:rFonts w:ascii="Times New Roman" w:hAnsi="Times New Roman" w:cs="Times New Roman"/>
          <w:b/>
          <w:sz w:val="24"/>
        </w:rPr>
        <w:t xml:space="preserve">9. </w:t>
      </w:r>
      <w:r>
        <w:rPr>
          <w:rFonts w:ascii="Times New Roman" w:hAnsi="Times New Roman" w:cs="Times New Roman"/>
          <w:lang w:val="tr-TR"/>
        </w:rPr>
        <w:t xml:space="preserve">1 cm² hücreden alınan güç = 0,25 mW/cm² · (12/100) = 0,030 mW/cm². Gerekli alan = 0,90 mW / 0,030 mW/cm² = 30 cm².</w:t>
      </w:r>
    </w:p>
    <w:p>
      <w:pPr>
        <w:jc w:val="both"/>
      </w:pPr>
      <w:r>
        <w:rPr>
          <w:rFonts w:ascii="Times New Roman" w:hAnsi="Times New Roman" w:cs="Times New Roman"/>
          <w:b/>
          <w:sz w:val="24"/>
        </w:rPr>
        <w:t xml:space="preserve">10. </w:t>
      </w:r>
      <w:r>
        <w:rPr>
          <w:rFonts w:ascii="Times New Roman" w:hAnsi="Times New Roman" w:cs="Times New Roman"/>
          <w:lang w:val="tr-TR"/>
        </w:rPr>
        <w:t xml:space="preserve">Örnek amaç: Mandalina atığından elde edilen pektinle, rulo hâlinde kırılmadan saklanabilen ve toprakta sulandığında kısa sürede dağılarak tohumların çimlenmesini engellemeyen bir tohum bandı elde etmek. Özellikler: esneklik (kırılmadan katlanabilme), suda kısa sürede dağılma, toprakta bozunabilme.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P1: (1,12 − 0,80)/0,80 · 100 = %40. P2: (2,10 − 1,20)/1,20 · 100 = %75. P3: (1,89 − 0,90)/0,90 · 100 = %110. P4: (2,40 − 1,50)/1,50 · 100 = %60. Gliserin miktarı arttıkça (P1 → P2 → P3) şişme yüzdesi artar.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P1 kırılgandır (2 katlanma), rulo yapılamaz ve suda çok geç dağılır; elenir. P4 dayanıklıdır ancak yaklaşık 32 saatte dağıldığı için tohum bandından çok fide kabı gibi dayanıklılık gereken ürünlere uygundur. P2 orta esnekliktedir, yaklaşık 20 saatte dağılır. P3 çok esnektir (20’den fazla katlanma), rulo hâlinde kırılmaz ve suda yaklaşık 6 saatte dağılarak tohumların çimlenmesini engellemez. Seçim: P3 (gerekçeli olarak P2’yi seçen cevaplar da kabul edilir).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Film esneklik ve suda hızlı dağılma amaçlarını karşılamış ancak saklama koşulunda yapışkan olduğu için amaca tam ulaşılamamıştır. Gliserinin fazlası filmi yapışkan ve suya karşı daha duyarlı hâle getirir. Gliserin miktarı azaltılarak (ör. 2-3 mL) ya da az miktarda kabuk tozu/kâğıt lifi eklenerek yapışkanlık azaltılabilir; yeni bileşim aynı testlerle denenip sonuçlar amaçla yeniden karşılaştırılmalıdır.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Kitosan: + / +. PHA: + / +. Şeker kamışı kaynaklı polietilen: + / −. Petrol kaynaklı polietilen: − / −. Petrol kaynaklı biyobozunur polyester: − / +.</w:t>
      </w:r>
    </w:p>
    <w:p>
      <w:pPr>
        <w:jc w:val="both"/>
      </w:pPr>
      <w:r>
        <w:rPr>
          <w:rFonts w:ascii="Times New Roman" w:hAnsi="Times New Roman" w:cs="Times New Roman"/>
          <w:b/>
          <w:sz w:val="24"/>
        </w:rPr>
        <w:t xml:space="preserve">16. </w:t>
      </w:r>
      <w:r>
        <w:rPr>
          <w:rFonts w:ascii="Times New Roman" w:hAnsi="Times New Roman" w:cs="Times New Roman"/>
          <w:lang w:val="tr-TR"/>
        </w:rPr>
        <w:t xml:space="preserve">B</w:t>
      </w:r>
    </w:p>
    <w:p>
      <w:pPr>
        <w:jc w:val="both"/>
      </w:pPr>
      <w:r>
        <w:rPr>
          <w:rFonts w:ascii="Times New Roman" w:hAnsi="Times New Roman" w:cs="Times New Roman"/>
          <w:b/>
          <w:sz w:val="24"/>
        </w:rPr>
        <w:t xml:space="preserve">17. </w:t>
      </w:r>
      <w:r>
        <w:rPr>
          <w:rFonts w:ascii="Times New Roman" w:hAnsi="Times New Roman" w:cs="Times New Roman"/>
          <w:lang w:val="tr-TR"/>
        </w:rPr>
        <w:t xml:space="preserve">a. Kompost: (5,00 − 0,50)/5,00 · 100 = %90. Toprak: (5,00 − 4,60)/5,00 · 100 = %8. Deniz suyu: (5,00 − 4,85)/5,00 · 100 = %3.  b. İfade yanıltıcıdır. PLA yalnızca sıcaklığı ve nemi yüksek endüstriyel kompost ortamında kısa sürede bozunmuş; toprakta ve deniz suyunda 8 haftada çok az kütle kaybetmiştir. Biyobozunurluk, hangi koşulda ve ne kadar sürede bozunduğu bilgisiyle birlikte verilmelidir.  c. Örnek: “Endüstriyel kompost tesislerinde bozunur; doğaya atmayınız, kompost atıklarıyla ayrı toplayınız.”</w:t>
      </w:r>
    </w:p>
    <w:p>
      <w:pPr>
        <w:jc w:val="both"/>
      </w:pPr>
      <w:r>
        <w:rPr>
          <w:rFonts w:ascii="Times New Roman" w:hAnsi="Times New Roman" w:cs="Times New Roman"/>
          <w:b/>
          <w:sz w:val="24"/>
        </w:rPr>
        <w:t xml:space="preserve">18. </w:t>
      </w:r>
      <w:r>
        <w:rPr>
          <w:rFonts w:ascii="Times New Roman" w:hAnsi="Times New Roman" w:cs="Times New Roman"/>
          <w:lang w:val="tr-TR"/>
        </w:rPr>
        <w:t xml:space="preserve">Ameliyat ipliğinin görevi yara iyileşene kadar sürer; PGA bu sürede vücutta parçalandığı için dikişlerin alınması gerekmez ve ikinci bir müdahale önlenir. Protezin ise yıllarca işlev görmesi gerekir; bozunan bir polimer protezin dayanımını kaybetmesine yol açar. Bu nedenle uzun süreli kullanımda vücutla uyumlu ve vücut sıvılarına dayanıklı polimerler seçilir.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1-b, 2-a, 3-ç, 4-c</w:t>
      </w:r>
    </w:p>
    <w:p>
      <w:pPr>
        <w:jc w:val="both"/>
      </w:pPr>
      <w:r>
        <w:rPr>
          <w:rFonts w:ascii="Times New Roman" w:hAnsi="Times New Roman" w:cs="Times New Roman"/>
          <w:b/>
          <w:sz w:val="24"/>
        </w:rPr>
        <w:t xml:space="preserve">20. </w:t>
      </w:r>
      <w:r>
        <w:rPr>
          <w:rFonts w:ascii="Times New Roman" w:hAnsi="Times New Roman" w:cs="Times New Roman"/>
          <w:lang w:val="tr-TR"/>
        </w:rPr>
        <w:t xml:space="preserve">Salma sulamaya göre: (800 − 360)/800 · 100 = %55. Damla sulamaya göre: (450 − 360)/450 · 100 = %20. Ürün/su: salma 6000/800 = 7,5 kg/m³; damla 6500/450 ≈ 14,4 kg/m³; yapay zekâ destekli 6600/360 ≈ 18,3 kg/m³.</w:t>
      </w:r>
    </w:p>
    <w:p>
      <w:pPr>
        <w:jc w:val="both"/>
      </w:pPr>
      <w:r>
        <w:rPr>
          <w:rFonts w:ascii="Times New Roman" w:hAnsi="Times New Roman" w:cs="Times New Roman"/>
          <w:b/>
          <w:sz w:val="24"/>
        </w:rPr>
        <w:t xml:space="preserve">21. </w:t>
      </w:r>
      <w:r>
        <w:rPr>
          <w:rFonts w:ascii="Times New Roman" w:hAnsi="Times New Roman" w:cs="Times New Roman"/>
          <w:lang w:val="tr-TR"/>
        </w:rPr>
        <w:t xml:space="preserve">Su tasarrufunun büyük kısmı damla sulamaya geçişten (800 → 450 m³) kaynaklanmaktadır; yapay zekâ destekli plan ek olarak %20 tasarruf sağlamıştır. Veriler tek bir kooperatifin tarlalarına aittir ve ovanın bütününü, yer altı suyu seviyesini göstermez. Ayrıca tasarruf edilen su yeni alanların sulanmasında kullanılırsa toplam su tüketimi azalmayabilir. Daha doğru ifade: “Yapay zekâ destekli sulama planı, kooperatifin tarlalarında damla sulamaya göre yaklaşık %20 daha az su kullanılarak aynı ya da biraz daha fazla ürün alınmasını sağlamıştır.”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C</w:t>
      </w:r>
    </w:p>
    <w:p>
      <w:pPr>
        <w:jc w:val="both"/>
      </w:pPr>
      <w:r>
        <w:rPr>
          <w:rFonts w:ascii="Times New Roman" w:hAnsi="Times New Roman" w:cs="Times New Roman"/>
          <w:b/>
          <w:sz w:val="24"/>
        </w:rPr>
        <w:t xml:space="preserve">23. </w:t>
      </w:r>
      <w:r>
        <w:rPr>
          <w:rFonts w:ascii="Times New Roman" w:hAnsi="Times New Roman" w:cs="Times New Roman"/>
          <w:lang w:val="tr-TR"/>
        </w:rPr>
        <w:t xml:space="preserve">Örnek: Sistem toprak ve bitki verilerinden hangi bölgeye ne kadar gübre gerektiğini belirlediği için gübre yalnızca gerektiği yerde ve gerektiği kadar kullanılır. Eğer fazla gübre kullanılmazsa, o hâlde akarsulara ve yer altı sularına taşınan gübre miktarı azalır; bu da temiz su ve sudaki yaşam amaçlarına katkı sağlar, çiftçinin gübre maliyetini de düşürür.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Endişe haklıdır; veriler kişisel ve ticari bilgiler içerir, izinsiz toplanması ya da başka amaçla kullanılması mahremiyeti tehdit eder. Örnek kurallar: Veriler yalnızca sulama planlaması için kullanılmalı ve çiftçinin izni olmadan üçüncü kişilerle paylaşılmamalı; çiftçi kendi verilerine erişebilmeli ve istediğinde silinmesini talep edebilmeli; verilerin nerede ve ne kadar süre saklanacağı açıkça belirtilmeli.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Başlık abartılıdır ve verilere dayanmamaktadır. Veri merkezlerinin tamamı 2024’te dünya elektriğinin yaklaşık %1,5’ini tüketmiştir; bu tüketimin yalnızca bir kısmı yapay zekâya aittir. 2030 öngörüsü de tüketimin iki katından fazla artacağını gösterir ancak “yarısı” düzeyine işaret etmez. Haberde kaynak belirtilmemesi güvenilirliğini azaltır. Bununla birlikte tüketimin hızla arttığı ve izlenmesi gerektiği doğrudur.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Toplam artış = 945 − 415 = 530 TWh; yıllık ortalama artış = 530/6 ≈ 88 TWh/yıl. Sınırlılık: 945 TWh bir senaryo öngörüsüdür, kesin bir ölçüm değildir; artış her yıl eşit olmayabilir, teknolojideki verimlilik gelişmeleri ve kullanım alışkanlıkları sonucu değiştirebilir.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1. Kanıta dayanıyor. 2. Kanıta dayanmıyor (veri merkezleri başka bilgi işlem hizmetleri için de çalışır). 3. Kanıta dayanmıyor (su miktarı bölgenin iklimine ve soğutma teknolojisine göre büyük farklılık gösterir). 4. Kanıta dayanıyor.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C</w:t>
      </w:r>
    </w:p>
    <w:p>
      <w:pPr>
        <w:jc w:val="both"/>
      </w:pPr>
      <w:r>
        <w:rPr>
          <w:rFonts w:ascii="Times New Roman" w:hAnsi="Times New Roman" w:cs="Times New Roman"/>
          <w:b/>
          <w:sz w:val="24"/>
        </w:rPr>
        <w:t xml:space="preserve">29. </w:t>
      </w:r>
      <w:r>
        <w:rPr>
          <w:rFonts w:ascii="Times New Roman" w:hAnsi="Times New Roman" w:cs="Times New Roman"/>
          <w:lang w:val="tr-TR"/>
        </w:rPr>
        <w:t xml:space="preserve">Öğrenci özgün metnini oluşturur. Değerlendirmede arkadaşın endişesinin anlaşılıp saygıyla karşılanması; veri merkezlerinin enerji, su ve donanım tüketiminin (IEA verileri) kabul edilmesi; akıllı sulama, enerji verimliliği, atık azaltma, yeşil kimyada daha az deneme gibi katkılarla dengelenmesi; etkinin kullanım amacına, kazanımın tüketilen kaynaklara oranına ve enerjinin kaynağına bağlı olduğu sonucuna ulaşılması aranır.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1-b, 2-c, 3-ç, 4-a</w:t>
      </w:r>
    </w:p>
    <w:p>
      <w:pPr>
        <w:jc w:val="both"/>
      </w:pPr>
      <w:r>
        <w:rPr>
          <w:rFonts w:ascii="Times New Roman" w:hAnsi="Times New Roman" w:cs="Times New Roman"/>
          <w:b/>
          <w:sz w:val="24"/>
        </w:rPr>
        <w:t xml:space="preserve">31. </w:t>
      </w:r>
      <w:r>
        <w:rPr>
          <w:rFonts w:ascii="Times New Roman" w:hAnsi="Times New Roman" w:cs="Times New Roman"/>
          <w:lang w:val="tr-TR"/>
        </w:rPr>
        <w:t xml:space="preserve">B - II</w:t>
      </w:r>
    </w:p>
    <w:p>
      <w:pPr>
        <w:jc w:val="both"/>
      </w:pPr>
      <w:r>
        <w:rPr>
          <w:rFonts w:ascii="Times New Roman" w:hAnsi="Times New Roman" w:cs="Times New Roman"/>
          <w:b/>
          <w:sz w:val="24"/>
        </w:rPr>
        <w:t xml:space="preserve">32. </w:t>
      </w:r>
      <w:r>
        <w:rPr>
          <w:rFonts w:ascii="Times New Roman" w:hAnsi="Times New Roman" w:cs="Times New Roman"/>
          <w:lang w:val="tr-TR"/>
        </w:rPr>
        <w:t xml:space="preserve">Gelen ışığın gücü = 200 W/m² · 6,0 m² = 1200 W. Elde edilen elektrik gücü = 1200 · (8/100) = 96 W &gt; 60 W; paneller ihtiyacı karşılar. En küçük alan = 60 W / (200 W/m² · 0,08) = 3,75 m².</w:t>
      </w:r>
    </w:p>
    <w:p>
      <w:pPr>
        <w:jc w:val="both"/>
      </w:pPr>
      <w:r>
        <w:rPr>
          <w:rFonts w:ascii="Times New Roman" w:hAnsi="Times New Roman" w:cs="Times New Roman"/>
          <w:b/>
          <w:sz w:val="24"/>
        </w:rPr>
        <w:t xml:space="preserve">33. </w:t>
      </w:r>
      <w:r>
        <w:rPr>
          <w:rFonts w:ascii="Times New Roman" w:hAnsi="Times New Roman" w:cs="Times New Roman"/>
          <w:lang w:val="tr-TR"/>
        </w:rPr>
        <w:t xml:space="preserve">Güçlü güneş ışığında silisyumun verimi yüksektir; ancak gölgeli duraklarda ışık dağınık ve düşüktür, boyaya duyarlı paneller düşük ışıkta verimini büyük ölçüde korur ve geliş açısından az etkilenir. Üretimleri 1400 °C yerine 450-500 °C’de, basit yöntemlerle yapıldığı için daha az enerji gerektirir (enerji verimliliği için tasarım). Renkli ve yarı saydam oldukları için durağın gölgelik işlevine ve görünümüne uygundur. Sınırlılık: sıvı elektrolitin buharlaşması ya da sızması ömrü kısaltır; rutenyum ve platin nadir ve pahalıdır. Öneri: katı ya da jel elektrolit, rutenyum içermeyen organik boyalar, platin yerine karbon temelli karşı elektrot kullanılması.</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Beklenen yarar tam olarak sağlanmaz. Kompostlanabilir poşetler (ör. PLA) sıcaklığı ve nemi yüksek, oksijenli endüstriyel kompost ortamında hızla bozunur; depolama alanında yavaş bozunur ve oksijensiz ortamda bozunurken sera gazı olan metan oluşabilir. Poşetler ve organik atıklar ayrı toplanarak endüstriyel kompost tesisine gönderilmeli, oluşan kompost tarımda kullanılmalıdır.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Katkı: Boş ya da az yolculu seferlerin azalması ve yoğun saatlere göre planlama yapılmasıyla yakıt tüketiminin ve egzoz emisyonlarının azalması; toplu taşımanın daha çekici hâle gelmesi. Riskler: yolcu kartı verilerindeki konum ve yolculuk bilgilerinin mahremiyeti; eksik ya da dengesiz verilerle bazı mahallelerin daha az hizmet alması; programın çalıştığı sunucuların enerji ve donanım ihtiyacı.</w:t>
      </w:r>
    </w:p>
    <w:p>
      <w:pPr>
        <w:jc w:val="both"/>
      </w:pPr>
      <w:r>
        <w:rPr>
          <w:rFonts w:ascii="Times New Roman" w:hAnsi="Times New Roman" w:cs="Times New Roman"/>
          <w:b/>
          <w:sz w:val="24"/>
        </w:rPr>
        <w:t xml:space="preserve">36. </w:t>
      </w:r>
      <w:r>
        <w:rPr>
          <w:rFonts w:ascii="Times New Roman" w:hAnsi="Times New Roman" w:cs="Times New Roman"/>
          <w:lang w:val="tr-TR"/>
        </w:rPr>
        <w:t xml:space="preserve">Öğrenci özgün kararını oluşturur. Örnek: II. seçenek tercih edilebilir; çünkü kompost tesisi olmadan kompostlanabilir poşetlerden beklenen yarar sağlanamaz, organik atıklar da değerlendirilerek depolama alanına giden atık ve metan oluşumu azalır. Değerlendirmede tüm ölçütlerin dikkate alınması, seçeneklerin üstünlük ve sınırlılıklarının karşılaştırılması ve kararın kanıtlarla tutarlı biçimde gerekçelendirilmesi aranır.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a. plastikleştirici  b. biyobozunur polimer  c. doluluk faktörü  ç. nanopolimer  d. makine öğrenmesi (fazla kavram: biyopolimer)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Boya çözeltisine eklenen gümüş nanoparçacık miktarı belirli bir değere kadar arttıkça hücrenin verimi artar. Bağımsız: eklenen gümüş nanoparçacık miktarı (ör. 0, 1, 2, 4 mL). Bağımlı: hücrenin verimi (en yüksek güç). Kontrol: boya türü ve miktarı, 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 bekletme süresi, elektrolit, hücre alanı, ışık gücü ve uzaklığı, sıcaklık. Aynı yöntemle hazırlanan hücrelerin en yüksek güç noktasındaki gerilim ve akımı multimetreyle ölçülür, verim hesaplanır; nanoparçacık eklenmemiş hücre kontrol grubu olarak kullanılır ve her ölçüm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