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1.Bölüm: Nanobilim, Yeşil Kimya ve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ÖZET</w:t>
      </w:r>
    </w:p>
    <w:p>
      <w:pPr>
        <w:jc w:val="both"/>
        <w:rPr>
          <w:rFonts w:ascii="Times New Roman" w:hAnsi="Times New Roman" w:cs="Times New Roman"/>
          <w:lang w:val="tr-TR"/>
        </w:rPr>
      </w:pPr>
      <w:r>
        <w:rPr>
          <w:rFonts w:ascii="Times New Roman" w:hAnsi="Times New Roman" w:cs="Times New Roman"/>
          <w:b/>
          <w:bCs/>
          <w:lang w:val="tr-TR"/>
        </w:rPr>
        <w:t xml:space="preserve">Bölüm: Nanobilim, Yeşil Kimya ve Sürdürülebilirlik</w:t>
      </w:r>
    </w:p>
    <w:p>
      <w:pPr>
        <w:jc w:val="both"/>
        <w:rPr>
          <w:rFonts w:ascii="Times New Roman" w:hAnsi="Times New Roman" w:cs="Times New Roman"/>
          <w:lang w:val="tr-TR"/>
        </w:rPr>
      </w:pPr>
      <w:r>
        <w:rPr>
          <w:rFonts w:ascii="Times New Roman" w:hAnsi="Times New Roman" w:cs="Times New Roman"/>
          <w:lang w:val="tr-TR"/>
        </w:rPr>
        <w:t xml:space="preserve">Işık enerjisini doğrudan elektrik enerjisine dönüştüren düzeneklere güneş hücresi denir. Geleneksel güneş pillerinde ışığı soğurma ve elektronları taşıma görevlerini silisyum üstlenir. Boyaya duyarlı güneş pillerinde ise ışığı bir boya maddesi soğurur, elektronları titanyum dioksit nanoparçacıkları taşır; yükseltgenen boya iyodür iyonlarıyla yeniden indirgenir. Bu süreç fotosentezdeki ışık soğurma ve elektron aktarımına benzer. Bir hücrenin verimi, en yüksek elektrik gücünün gelen ışık gücüne oranıdır (η = P</w:t>
      </w:r>
      <w:r>
        <w:rPr>
          <w:rFonts w:ascii="Times New Roman" w:hAnsi="Times New Roman" w:cs="Times New Roman"/>
          <w:vertAlign w:val="subscript"/>
          <w:lang w:val="tr-TR"/>
        </w:rPr>
        <w:t xml:space="preserve">en yüksek</w:t>
      </w:r>
      <w:r>
        <w:rPr>
          <w:rFonts w:ascii="Times New Roman" w:hAnsi="Times New Roman" w:cs="Times New Roman"/>
          <w:lang w:val="tr-TR"/>
        </w:rPr>
        <w:t xml:space="preserve"> / P</w:t>
      </w:r>
      <w:r>
        <w:rPr>
          <w:rFonts w:ascii="Times New Roman" w:hAnsi="Times New Roman" w:cs="Times New Roman"/>
          <w:vertAlign w:val="subscript"/>
          <w:lang w:val="tr-TR"/>
        </w:rPr>
        <w:t xml:space="preserve">gelen</w:t>
      </w:r>
      <w:r>
        <w:rPr>
          <w:rFonts w:ascii="Times New Roman" w:hAnsi="Times New Roman" w:cs="Times New Roman"/>
          <w:lang w:val="tr-TR"/>
        </w:rPr>
        <w:t xml:space="preserve"> · 100). Boyaya duyarlı güneş pillerinin verimi silisyum pillerden düşüktür; ancak ucuz malzemelerle düşük enerjiyle üretilebilir, renkli ve yarı saydam yapılabilir, düşük ışıkta verimini korur.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İletken cam, boya tutunmuş TiO₂ nanoparçacıkları, I⁻/I₃⁻ elektroliti ve karşı elektrot ile dış devredeki elektron akışını gösteren şema (vektörel, Türkçeleştirilecek).</w:t>
            </w:r>
          </w:p>
          <w:p>
            <w:pPr>
              <w:jc w:val="both"/>
              <w:rPr>
                <w:rFonts w:ascii="Times New Roman" w:hAnsi="Times New Roman" w:cs="Times New Roman"/>
                <w:lang w:val="tr-TR"/>
              </w:rPr>
            </w:pPr>
            <w:r>
              <w:rPr>
                <w:rFonts w:ascii="Times New Roman" w:hAnsi="Times New Roman" w:cs="Times New Roman"/>
                <w:lang w:val="tr-TR"/>
              </w:rPr>
              <w:t xml:space="preserve">Shutterstock arama: “dye sensitized solar cell diagram”</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Boyaya duyarlı güneş hücresinde elektron akışı</w:t>
      </w:r>
    </w:p>
    <w:p>
      <w:pPr>
        <w:jc w:val="both"/>
        <w:rPr>
          <w:rFonts w:ascii="Times New Roman" w:hAnsi="Times New Roman" w:cs="Times New Roman"/>
          <w:lang w:val="tr-TR"/>
        </w:rPr>
      </w:pPr>
      <w:r>
        <w:rPr>
          <w:rFonts w:ascii="Times New Roman" w:hAnsi="Times New Roman" w:cs="Times New Roman"/>
          <w:lang w:val="tr-TR"/>
        </w:rPr>
        <w:t xml:space="preserve">Canlılar tarafından üretilen ya da biyokütleden elde edilen monomerlerden sentezlenen polimerlere biyopolimer denir. Nişasta, selüloz, pektin ve kitosan polisakkarit; jelatin, kolajen, glüten ve soya proteini protein yapısındaki biyopolimerlerdir. PLA ve PHA biyokaynaklı polyesterlerdir. Mikroorganizmaların etkisiyle karbon dioksit, su ve biyokütleye dönüşebilen polimerlere biyobozunur polimer denir. Biyoplastik eldesinde gliserin plastikleştirici olarak esneklik kazandırır, doğal lifler dayanımı artırır. Biyobozunur polimerler ameliyat ipliği, doku iskelesi, ilaç taşıyıcı ve yenilebilir film gibi alanlarda kullanılır ve yeşil kimyanın “bozunma için tasarım” ilkesine örnektir.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Mısır/patates → nişasta → biyoplastik ürün → kompost → CO₂, su ve biyokütle → yeniden bitki döngüsünü gösteren infografik (vektörel, Türkçeleştirilecek).</w:t>
            </w:r>
          </w:p>
          <w:p>
            <w:pPr>
              <w:jc w:val="both"/>
              <w:rPr>
                <w:rFonts w:ascii="Times New Roman" w:hAnsi="Times New Roman" w:cs="Times New Roman"/>
                <w:lang w:val="tr-TR"/>
              </w:rPr>
            </w:pPr>
            <w:r>
              <w:rPr>
                <w:rFonts w:ascii="Times New Roman" w:hAnsi="Times New Roman" w:cs="Times New Roman"/>
                <w:lang w:val="tr-TR"/>
              </w:rPr>
              <w:t xml:space="preserve">Shutterstock arama: “bioplastic life cycle infographic”</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Biyopolimerin yaşam döngüsü</w:t>
      </w:r>
    </w:p>
    <w:p>
      <w:pPr>
        <w:jc w:val="both"/>
        <w:rPr>
          <w:rFonts w:ascii="Times New Roman" w:hAnsi="Times New Roman" w:cs="Times New Roman"/>
          <w:lang w:val="tr-TR"/>
        </w:rPr>
      </w:pPr>
      <w:r>
        <w:rPr>
          <w:rFonts w:ascii="Times New Roman" w:hAnsi="Times New Roman" w:cs="Times New Roman"/>
          <w:lang w:val="tr-TR"/>
        </w:rPr>
        <w:t xml:space="preserve">Verilerden öğrenerek tahmin yapan ve karar veren bilgi işlem teknolojilerine yapay zekâ denir. Yapay zekâ enerji verimliliği, çevresel izleme, akıllı tarım, atık ayrıştırma ve akıllı ulaşım gibi alanlarda sürdürülebilirliğe katkı sağlayabilir. Yeşil kimyada en verimli tepkime koşullarını, uygun katalizörleri ve daha az zararlı maddeleri belirlemeye yardımcı olur. Öte yandan veri merkezlerinin elektrik ve su tüketimi, donanım üretimi ve elektronik atık, mahremiyet ve yanlış bilgi gibi çevresel ve etik riskler de vardır. IEA’ya göre veri merkezleri 2024’te yaklaşık 415 TWh elektrik tüketmiştir ve bu tüketimin 2030’a kadar iki katından fazla artması beklenmektedir.</w:t>
      </w:r>
    </w:p>
    <w:p>
      <w:pPr>
        <w:jc w:val="both"/>
        <w:rPr>
          <w:rFonts w:ascii="Times New Roman" w:hAnsi="Times New Roman" w:cs="Times New Roman"/>
          <w:b/>
          <w:bCs/>
          <w:lang w:val="tr-TR"/>
        </w:rPr>
      </w:pPr>
      <w:r>
        <w:rPr>
          <w:rFonts w:ascii="Times New Roman" w:hAnsi="Times New Roman" w:cs="Times New Roman"/>
          <w:b/>
          <w:bCs/>
          <w:lang w:val="tr-TR"/>
        </w:rPr>
        <w:t xml:space="preserve">ÖĞRENME ÇIKTILARI VE SÜREÇ BİLEŞENLERİ</w:t>
      </w:r>
    </w:p>
    <w:p>
      <w:pPr>
        <w:jc w:val="both"/>
        <w:rPr>
          <w:rFonts w:ascii="Times New Roman" w:hAnsi="Times New Roman" w:cs="Times New Roman"/>
          <w:b/>
          <w:bCs/>
          <w:lang w:val="tr-TR"/>
        </w:rPr>
      </w:pPr>
      <w:r>
        <w:rPr>
          <w:rFonts w:ascii="Times New Roman" w:hAnsi="Times New Roman" w:cs="Times New Roman"/>
          <w:b/>
          <w:bCs/>
          <w:lang w:val="tr-TR"/>
        </w:rPr>
        <w:t xml:space="preserve">KİM.12.3.1</w:t>
      </w:r>
    </w:p>
    <w:p>
      <w:pPr>
        <w:jc w:val="both"/>
        <w:rPr>
          <w:rFonts w:ascii="Times New Roman" w:hAnsi="Times New Roman" w:cs="Times New Roman"/>
          <w:lang w:val="tr-TR"/>
        </w:rPr>
      </w:pPr>
      <w:r>
        <w:rPr>
          <w:rFonts w:ascii="Times New Roman" w:hAnsi="Times New Roman" w:cs="Times New Roman"/>
          <w:lang w:val="tr-TR"/>
        </w:rPr>
        <w:t xml:space="preserve">a. Geleneksel güneş pilleri ile boyaya duyarlı güneş pillerinin niteliklerini tanımlar.</w:t>
      </w:r>
    </w:p>
    <w:p>
      <w:pPr>
        <w:jc w:val="both"/>
        <w:rPr>
          <w:rFonts w:ascii="Times New Roman" w:hAnsi="Times New Roman" w:cs="Times New Roman"/>
          <w:lang w:val="tr-TR"/>
        </w:rPr>
      </w:pPr>
      <w:r>
        <w:rPr>
          <w:rFonts w:ascii="Times New Roman" w:hAnsi="Times New Roman" w:cs="Times New Roman"/>
          <w:lang w:val="tr-TR"/>
        </w:rPr>
        <w:t xml:space="preserve">b. Boyaya duyarlı güneş pillerinin verimliliğini belirlemek üzere hazır veri seti kullanır.</w:t>
      </w:r>
    </w:p>
    <w:p>
      <w:pPr>
        <w:jc w:val="both"/>
        <w:rPr>
          <w:rFonts w:ascii="Times New Roman" w:hAnsi="Times New Roman" w:cs="Times New Roman"/>
          <w:lang w:val="tr-TR"/>
        </w:rPr>
      </w:pPr>
      <w:r>
        <w:rPr>
          <w:rFonts w:ascii="Times New Roman" w:hAnsi="Times New Roman" w:cs="Times New Roman"/>
          <w:lang w:val="tr-TR"/>
        </w:rPr>
        <w:t xml:space="preserve">c. Boyaya duyarlı güneş pillerinin verimliliklerine ilişkin topladığı verileri değerlendirir.</w:t>
      </w:r>
    </w:p>
    <w:p>
      <w:pPr>
        <w:jc w:val="both"/>
        <w:rPr>
          <w:rFonts w:ascii="Times New Roman" w:hAnsi="Times New Roman" w:cs="Times New Roman"/>
          <w:b/>
          <w:bCs/>
          <w:lang w:val="tr-TR"/>
        </w:rPr>
      </w:pPr>
      <w:r>
        <w:rPr>
          <w:rFonts w:ascii="Times New Roman" w:hAnsi="Times New Roman" w:cs="Times New Roman"/>
          <w:b/>
          <w:bCs/>
          <w:lang w:val="tr-TR"/>
        </w:rPr>
        <w:t xml:space="preserve">KİM.12.3.2</w:t>
      </w:r>
    </w:p>
    <w:p>
      <w:pPr>
        <w:jc w:val="both"/>
        <w:rPr>
          <w:rFonts w:ascii="Times New Roman" w:hAnsi="Times New Roman" w:cs="Times New Roman"/>
          <w:lang w:val="tr-TR"/>
        </w:rPr>
      </w:pPr>
      <w:r>
        <w:rPr>
          <w:rFonts w:ascii="Times New Roman" w:hAnsi="Times New Roman" w:cs="Times New Roman"/>
          <w:lang w:val="tr-TR"/>
        </w:rPr>
        <w:t xml:space="preserve">a. Biyobozunur polimerin özelliğini düşünerek polimeri elde etme sürecine ilişkin amacını belirler.</w:t>
      </w:r>
    </w:p>
    <w:p>
      <w:pPr>
        <w:jc w:val="both"/>
        <w:rPr>
          <w:rFonts w:ascii="Times New Roman" w:hAnsi="Times New Roman" w:cs="Times New Roman"/>
          <w:lang w:val="tr-TR"/>
        </w:rPr>
      </w:pPr>
      <w:r>
        <w:rPr>
          <w:rFonts w:ascii="Times New Roman" w:hAnsi="Times New Roman" w:cs="Times New Roman"/>
          <w:lang w:val="tr-TR"/>
        </w:rPr>
        <w:t xml:space="preserve">b. Biyobozunur polimer elde etme sürecine ilişkin belirlediği amaca uygun bilgi toplar.</w:t>
      </w:r>
    </w:p>
    <w:p>
      <w:pPr>
        <w:jc w:val="both"/>
        <w:rPr>
          <w:rFonts w:ascii="Times New Roman" w:hAnsi="Times New Roman" w:cs="Times New Roman"/>
          <w:lang w:val="tr-TR"/>
        </w:rPr>
      </w:pPr>
      <w:r>
        <w:rPr>
          <w:rFonts w:ascii="Times New Roman" w:hAnsi="Times New Roman" w:cs="Times New Roman"/>
          <w:lang w:val="tr-TR"/>
        </w:rPr>
        <w:t xml:space="preserve">c. Biyobozunur polimer elde etme sürecine ilişkin seçenekler belirler.</w:t>
      </w:r>
    </w:p>
    <w:p>
      <w:pPr>
        <w:jc w:val="both"/>
        <w:rPr>
          <w:rFonts w:ascii="Times New Roman" w:hAnsi="Times New Roman" w:cs="Times New Roman"/>
          <w:lang w:val="tr-TR"/>
        </w:rPr>
      </w:pPr>
      <w:r>
        <w:rPr>
          <w:rFonts w:ascii="Times New Roman" w:hAnsi="Times New Roman" w:cs="Times New Roman"/>
          <w:lang w:val="tr-TR"/>
        </w:rPr>
        <w:t xml:space="preserve">ç. Biyobozunur polimer elde etme sürecine ilişkin seçenekler üzerinde mantıksal denetleme yapar.</w:t>
      </w:r>
    </w:p>
    <w:p>
      <w:pPr>
        <w:jc w:val="both"/>
        <w:rPr>
          <w:rFonts w:ascii="Times New Roman" w:hAnsi="Times New Roman" w:cs="Times New Roman"/>
          <w:lang w:val="tr-TR"/>
        </w:rPr>
      </w:pPr>
      <w:r>
        <w:rPr>
          <w:rFonts w:ascii="Times New Roman" w:hAnsi="Times New Roman" w:cs="Times New Roman"/>
          <w:lang w:val="tr-TR"/>
        </w:rPr>
        <w:t xml:space="preserve">d. İstediği özellikte biyobozunur polimer elde etme sürecinde kullanacağı bileşenlerin seçimini yapar.</w:t>
      </w:r>
    </w:p>
    <w:p>
      <w:pPr>
        <w:jc w:val="both"/>
        <w:rPr>
          <w:rFonts w:ascii="Times New Roman" w:hAnsi="Times New Roman" w:cs="Times New Roman"/>
          <w:lang w:val="tr-TR"/>
        </w:rPr>
      </w:pPr>
      <w:r>
        <w:rPr>
          <w:rFonts w:ascii="Times New Roman" w:hAnsi="Times New Roman" w:cs="Times New Roman"/>
          <w:lang w:val="tr-TR"/>
        </w:rPr>
        <w:t xml:space="preserve">e. Seçimi doğrultusunda istediği özellikte biyobozunur polimer elde edip etmediğine yönelik yansıtma yapar.</w:t>
      </w:r>
    </w:p>
    <w:p>
      <w:pPr>
        <w:jc w:val="both"/>
        <w:rPr>
          <w:rFonts w:ascii="Times New Roman" w:hAnsi="Times New Roman" w:cs="Times New Roman"/>
          <w:b/>
          <w:bCs/>
          <w:lang w:val="tr-TR"/>
        </w:rPr>
      </w:pPr>
      <w:r>
        <w:rPr>
          <w:rFonts w:ascii="Times New Roman" w:hAnsi="Times New Roman" w:cs="Times New Roman"/>
          <w:b/>
          <w:bCs/>
          <w:lang w:val="tr-TR"/>
        </w:rPr>
        <w:t xml:space="preserve">KİM.12.3.3</w:t>
      </w:r>
    </w:p>
    <w:p>
      <w:pPr>
        <w:jc w:val="both"/>
        <w:rPr>
          <w:rFonts w:ascii="Times New Roman" w:hAnsi="Times New Roman" w:cs="Times New Roman"/>
          <w:lang w:val="tr-TR"/>
        </w:rPr>
      </w:pPr>
      <w:r>
        <w:rPr>
          <w:rFonts w:ascii="Times New Roman" w:hAnsi="Times New Roman" w:cs="Times New Roman"/>
          <w:lang w:val="tr-TR"/>
        </w:rPr>
        <w:t xml:space="preserve">a. Yapay zekâ uygulamalarının sürdürülebilirliğe etkilerini sorgular.</w:t>
      </w:r>
    </w:p>
    <w:p>
      <w:pPr>
        <w:jc w:val="both"/>
        <w:rPr>
          <w:rFonts w:ascii="Times New Roman" w:hAnsi="Times New Roman" w:cs="Times New Roman"/>
          <w:lang w:val="tr-TR"/>
        </w:rPr>
      </w:pPr>
      <w:r>
        <w:rPr>
          <w:rFonts w:ascii="Times New Roman" w:hAnsi="Times New Roman" w:cs="Times New Roman"/>
          <w:lang w:val="tr-TR"/>
        </w:rPr>
        <w:t xml:space="preserve">b. Yapay zekâ uygulamalarının sürdürülebilirliğe etkileri ile ilgili akıl yürütür.</w:t>
      </w:r>
    </w:p>
    <w:p>
      <w:pPr>
        <w:jc w:val="both"/>
        <w:rPr>
          <w:rFonts w:ascii="Times New Roman" w:hAnsi="Times New Roman" w:cs="Times New Roman"/>
          <w:lang w:val="tr-TR"/>
        </w:rPr>
      </w:pPr>
      <w:r>
        <w:rPr>
          <w:rFonts w:ascii="Times New Roman" w:hAnsi="Times New Roman" w:cs="Times New Roman"/>
          <w:lang w:val="tr-TR"/>
        </w:rPr>
        <w:t xml:space="preserve">c. Yapay zekâ uygulamalarının sürdürülebilirliğe etkilerine ilişkin ulaştığı çıkarımlar üzerine yansıtma yapar.</w:t>
      </w:r>
    </w:p>
    <w:p>
      <w:pPr>
        <w:jc w:val="both"/>
        <w:rPr>
          <w:rFonts w:ascii="Times New Roman" w:hAnsi="Times New Roman" w:cs="Times New Roman"/>
          <w:b/>
          <w:bCs/>
          <w:lang w:val="tr-TR"/>
        </w:rPr>
      </w:pPr>
      <w:r>
        <w:rPr>
          <w:rFonts w:ascii="Times New Roman" w:hAnsi="Times New Roman" w:cs="Times New Roman"/>
          <w:b/>
          <w:bCs/>
          <w:lang w:val="tr-TR"/>
        </w:rPr>
        <w:t xml:space="preserve">GÖVDE</w:t>
      </w:r>
    </w:p>
    <w:p>
      <w:pPr>
        <w:jc w:val="both"/>
        <w:rPr>
          <w:rFonts w:ascii="Times New Roman" w:hAnsi="Times New Roman" w:cs="Times New Roman"/>
          <w:b/>
          <w:bCs/>
          <w:lang w:val="tr-TR"/>
        </w:rPr>
      </w:pPr>
      <w:r>
        <w:rPr>
          <w:rFonts w:ascii="Times New Roman" w:hAnsi="Times New Roman" w:cs="Times New Roman"/>
          <w:b/>
          <w:bCs/>
          <w:lang w:val="tr-TR"/>
        </w:rPr>
        <w:t xml:space="preserve">KİM.12.3.1. Boyaya duyarlı güneş pillerinin verimliliklerine ilişkin bilimsel çıkarım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Boyaya duyarlı güneş pillerinin sürdürülebilirliği hakkında kısa cevaplı sorular hazırlanır. Böğürtlen boyası kullanılarak boyaya duyarlı bir güneş hücresi simülasyonu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Simülasyon + Kısa Cevaplı Sorular Hazırlanacak:</w:t>
      </w:r>
    </w:p>
    <w:p>
      <w:pPr>
        <w:jc w:val="both"/>
        <w:rPr>
          <w:rFonts w:ascii="Times New Roman" w:hAnsi="Times New Roman" w:cs="Times New Roman"/>
          <w:lang w:val="tr-TR"/>
        </w:rPr>
      </w:pPr>
      <w:r>
        <w:rPr>
          <w:rFonts w:ascii="Times New Roman" w:hAnsi="Times New Roman" w:cs="Times New Roman"/>
          <w:lang w:val="tr-TR"/>
        </w:rPr>
        <w:t xml:space="preserve">1. Ekran (Hücreyi kur): Ekranda iletken cam, TiO</w:t>
      </w:r>
      <w:r>
        <w:rPr>
          <w:rFonts w:ascii="Times New Roman" w:hAnsi="Times New Roman" w:cs="Times New Roman"/>
          <w:vertAlign w:val="subscript"/>
          <w:lang w:val="tr-TR"/>
        </w:rPr>
        <w:t xml:space="preserve">2</w:t>
      </w:r>
      <w:r>
        <w:rPr>
          <w:rFonts w:ascii="Times New Roman" w:hAnsi="Times New Roman" w:cs="Times New Roman"/>
          <w:lang w:val="tr-TR"/>
        </w:rPr>
        <w:t xml:space="preserve"> macunu, böğürtlen suyu, iyot/iyodür elektroliti, grafit kaplı cam ve kıskaç bulunsun. Öğrenci malzemeleri doğru sırayla sürükleyerek hücreyi kurar (iletken yüzü bulma → TiO</w:t>
      </w:r>
      <w:r>
        <w:rPr>
          <w:rFonts w:ascii="Times New Roman" w:hAnsi="Times New Roman" w:cs="Times New Roman"/>
          <w:vertAlign w:val="subscript"/>
          <w:lang w:val="tr-TR"/>
        </w:rPr>
        <w:t xml:space="preserve">2</w:t>
      </w:r>
      <w:r>
        <w:rPr>
          <w:rFonts w:ascii="Times New Roman" w:hAnsi="Times New Roman" w:cs="Times New Roman"/>
          <w:lang w:val="tr-TR"/>
        </w:rPr>
        <w:t xml:space="preserve"> katmanı → ısıl işlem → boyaya daldırma → grafit karşı elektrot → elektrolit damlatma → kıskaçla birleştirme). Yanlış sırada uyarı çıksın (ör. “Boya, ısıl işlemden önce sürülürse yüksek sıcaklıkta bozunur.”).</w:t>
      </w:r>
    </w:p>
    <w:p>
      <w:pPr>
        <w:jc w:val="both"/>
        <w:rPr>
          <w:rFonts w:ascii="Times New Roman" w:hAnsi="Times New Roman" w:cs="Times New Roman"/>
          <w:lang w:val="tr-TR"/>
        </w:rPr>
      </w:pPr>
      <w:r>
        <w:rPr>
          <w:rFonts w:ascii="Times New Roman" w:hAnsi="Times New Roman" w:cs="Times New Roman"/>
          <w:lang w:val="tr-TR"/>
        </w:rPr>
        <w:t xml:space="preserve">2. Ekran (Çalıştır): Hücreye bir lamba tutulduğunda yakın çekim animasyonda ışığın boyayı uyardığı, elektronun TiO</w:t>
      </w:r>
      <w:r>
        <w:rPr>
          <w:rFonts w:ascii="Times New Roman" w:hAnsi="Times New Roman" w:cs="Times New Roman"/>
          <w:vertAlign w:val="subscript"/>
          <w:lang w:val="tr-TR"/>
        </w:rPr>
        <w:t xml:space="preserve">2</w:t>
      </w:r>
      <w:r>
        <w:rPr>
          <w:rFonts w:ascii="Times New Roman" w:hAnsi="Times New Roman" w:cs="Times New Roman"/>
          <w:lang w:val="tr-TR"/>
        </w:rPr>
        <w:t xml:space="preserve">’ye geçip dış devreden karşı elektroda ulaştığı ve I</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boyayı yenilediği numaralı adımlarla gösterilsin. Devredeki voltmetre ve ampermetre değerleri ekranda görünsün.</w:t>
      </w:r>
    </w:p>
    <w:p>
      <w:pPr>
        <w:jc w:val="both"/>
        <w:rPr>
          <w:rFonts w:ascii="Times New Roman" w:hAnsi="Times New Roman" w:cs="Times New Roman"/>
          <w:lang w:val="tr-TR"/>
        </w:rPr>
      </w:pPr>
      <w:r>
        <w:rPr>
          <w:rFonts w:ascii="Times New Roman" w:hAnsi="Times New Roman" w:cs="Times New Roman"/>
          <w:lang w:val="tr-TR"/>
        </w:rPr>
        <w:t xml:space="preserve">3. Ekran (Ölç ve karşılaştır): Öğrenci boya (böğürtlen, karadut, kırmızı lahana, ıspanak, zerdeçal), gümüş nanoparçacık (var/yok) ve ışık gücü (1000, 500, 100, 10 W/m²) seçebilsin. Simülasyon açık devre gerilimini, kısa devre akım yoğunluğunu ve en yüksek gücü versin; öğrenci verimi hesaplayıp kutuya yazsın, ardından doğru değer gösterilsin. Değerler kitaptaki Analiz ve Keşif Atölyesi 3.1.’de yer alan ışık şiddeti ve ölçüm tablolarındaki değerlerle aynı olsun.</w:t>
      </w:r>
    </w:p>
    <w:p>
      <w:pPr>
        <w:jc w:val="both"/>
        <w:rPr>
          <w:rFonts w:ascii="Times New Roman" w:hAnsi="Times New Roman" w:cs="Times New Roman"/>
          <w:lang w:val="tr-TR"/>
        </w:rPr>
      </w:pPr>
      <w:r>
        <w:rPr>
          <w:rFonts w:ascii="Times New Roman" w:hAnsi="Times New Roman" w:cs="Times New Roman"/>
          <w:lang w:val="tr-TR"/>
        </w:rPr>
        <w:t xml:space="preserve">4. Ekran (Kısa cevaplı sorular):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00"/>
        <w:gridCol w:w="3400"/>
      </w:tblGrid>
      <w:tr>
        <w:tc>
          <w:tcPr>
            <w:tcW w:w="5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Boyaya duyarlı güneş pilinde ışığı soğuran bileşen hangisidir?</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Boya molekülleri</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Yükseltgenen boyayı ilk hâline döndüren tanecik hangisidir?</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İyodür (I</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TiO</w:t>
            </w:r>
            <w:r>
              <w:rPr>
                <w:rFonts w:ascii="Times New Roman" w:hAnsi="Times New Roman" w:cs="Times New Roman"/>
                <w:vertAlign w:val="subscript"/>
                <w:lang w:val="tr-TR"/>
              </w:rPr>
              <w:t xml:space="preserve">2</w:t>
            </w:r>
            <w:r>
              <w:rPr>
                <w:rFonts w:ascii="Times New Roman" w:hAnsi="Times New Roman" w:cs="Times New Roman"/>
                <w:lang w:val="tr-TR"/>
              </w:rPr>
              <w:t xml:space="preserve"> katmanının nanoparçacıklardan oluşmasının yararı nedir?</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Yüzey alanı büyür, daha çok boya tutunur.</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En yüksek gücü 0,60 mW/cm² olan bir hücreye 100 mW/cm² ışık geliyorsa verimi yüzde kaçtır?</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%0,60</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Boyaya duyarlı pillerin düşük ışıkta verimini korumasının sürdürülebilirlik açısından bir yararını yazınız.</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İç mekânda ve bulutlu havada da elektrik üretilerek pil kullanımı ve atık pil miktarı azaltılabilir. (Benzer gerekçeler kabul edilir.)</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Doğal boyaların yenilenebilir olması hangi yeşil kimya ilkesiyle ilişkilidir?</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Yenilenebilir ham madde kullanımı</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Simülasyondaki sayısal değerler kitaptaki öğretim amaçlı veri setleriyle aynı tutulmalıdır. Isıl işlem adımında “yalnızca öğretmen yapar” güvenlik uyarısı ekranda görünsün.</w:t>
      </w:r>
    </w:p>
    <w:p>
      <w:pPr>
        <w:jc w:val="both"/>
        <w:rPr>
          <w:rFonts w:ascii="Times New Roman" w:hAnsi="Times New Roman" w:cs="Times New Roman"/>
          <w:b/>
          <w:bCs/>
          <w:lang w:val="tr-TR"/>
        </w:rPr>
      </w:pPr>
      <w:r>
        <w:rPr>
          <w:rFonts w:ascii="Times New Roman" w:hAnsi="Times New Roman" w:cs="Times New Roman"/>
          <w:b/>
          <w:bCs/>
          <w:lang w:val="tr-TR"/>
        </w:rPr>
        <w:t xml:space="preserve">KİM.12.3.2. Biyobozunur polimer eldesinde kullanılacak bileşenlere karar verebilme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Biyopolimerlerin biyokütle ve tarımsal kaynaklı doğal polimerler olduğu ve biyobozunur özellikte olduğu ile ilgili boşluk doldurma etkinliği hazırlanır. Biyobozunur polimerleri, doğada çözünebilen ve çevre dostu olan bu polimerlerin (PLA, PHA) özelliklerini ve kullanım alanlarını anlatan bir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Boşluk Doldurma Etkinliği Hazırlanacak:</w:t>
      </w:r>
    </w:p>
    <w:p>
      <w:pPr>
        <w:jc w:val="both"/>
        <w:rPr>
          <w:rFonts w:ascii="Times New Roman" w:hAnsi="Times New Roman" w:cs="Times New Roman"/>
          <w:lang w:val="tr-TR"/>
        </w:rPr>
      </w:pPr>
      <w:r>
        <w:rPr>
          <w:rFonts w:ascii="Times New Roman" w:hAnsi="Times New Roman" w:cs="Times New Roman"/>
          <w:lang w:val="tr-TR"/>
        </w:rPr>
        <w:t xml:space="preserve">Öğrenci kelime havuzundaki kelimeleri (biyopolimer, biyokütle, polisakkarit, protein, mikroorganizma, biyobozunur, plastikleştirici, laktik asit) cümlelerdeki boşluklara sürükler.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800"/>
        <w:gridCol w:w="2200"/>
      </w:tblGrid>
      <w:tr>
        <w:tc>
          <w:tcPr>
            <w:tcW w:w="6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Cümle</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kelime</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Canlılar tarafından üretilen ya da biyokütleden elde edilen polimerlere ………… denir.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biyopolimer</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Nişasta, selüloz ve pektin ………… yapısındaki biyopolimerlerdir.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polisakkarit</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Jelatin, kolajen ve glüten ………… yapısındaki biyopolimerlerdir.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protein</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Biyopolimerler bitki ve hayvan kaynaklı ………… ve tarımsal ürünlerden elde edilir.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biyokütle</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 etkisiyle karbon dioksit, su ve biyokütleye dönüşebilen polimerlere biyobozunur polimer denir.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Mikroorganizmaların</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Gliserin, nişasta filmlerine esneklik kazandıran bir …………’dir.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plastikleştirici</w:t>
            </w:r>
          </w:p>
        </w:tc>
      </w:tr>
      <w:tr>
        <w:tc>
          <w:tcPr>
            <w:tcW w:w="6800" w:type="dxa"/>
            <w:vAlign w:val="center"/>
          </w:tcPr>
          <w:p>
            <w:pPr>
              <w:jc w:val="left"/>
              <w:rPr>
                <w:rFonts w:ascii="Times New Roman" w:hAnsi="Times New Roman" w:cs="Times New Roman"/>
                <w:lang w:val="tr-TR"/>
              </w:rPr>
            </w:pPr>
            <w:r>
              <w:rPr>
                <w:rFonts w:ascii="Times New Roman" w:hAnsi="Times New Roman" w:cs="Times New Roman"/>
                <w:lang w:val="tr-TR"/>
              </w:rPr>
              <w:t xml:space="preserve">PLA, şekerlerin fermantasyonuyla elde edilen ………… moleküllerinin birbirine bağlanmasıyla üretilir.</w:t>
            </w:r>
          </w:p>
        </w:tc>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laktik asit</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Video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“Bir mısır tarlasından bir kahve bardağına uzanan yolculuğa ne dersiniz? (NOT: mısır tarlası görüntüsü) Mısırdaki nişasta önce şekerlere ayrıştırılır, ardından mikroorganizmalar bu şekerleri fermantasyonla laktik aside dönüştürür (NOT: fermantasyon tankı animasyonu). Laktik asit molekülleri uç uca bağlanarak polilaktik asidi, kısaca PLA’yı oluşturur (NOT: monomerlerin zincire eklendiği animasyon). PLA saydam ve serttir; tek kullanımlık bardaklarda, ambalajlarda, 3 boyutlu yazıcılarda ve vücutta zamanla çözünen ameliyat ipliklerinde kullanılır. Bazı bakteriler ise şekerleri ve bitkisel yağları besin olarak kullanırken hücrelerinde küçük polimer tanecikleri depolar (NOT: bakteri hücresinde parlak granüller). Bu polimerlere polihidroksialkanoatlar, kısaca PHA denir. PHA’lar toprakta ve deniz suyunda da mikroorganizmalar tarafından parçalanabilir. Peki, biyobozunur polimerler doğaya atıldığında sorun çözülür mü? (NOT: kompost tesisi görüntüsü) PLA gibi bazı polimerler hızlı bozunmak için endüstriyel kompost tesislerindeki yüksek sıcaklığa ve neme ihtiyaç duyar. Bu nedenle biyobozunur ürünler de doğru şekilde toplanmalı ve uygun koşullarda kompostlanmalıdır. Mikroorganizmalar bu polimerleri sonunda karbon dioksit, su ve biyokütleye dönüştürür; bitkiler bu karbon dioksiti yeniden kullanır ve döngü tamamlanır (NOT: döngü infografiği).”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Videoda biyobozunma süreleri için kesin sayı verilmesin; “koşullara bağlıdır” vurgusu korunsun. Marka ve logo görünmesin.</w:t>
      </w:r>
    </w:p>
    <w:p>
      <w:pPr>
        <w:jc w:val="both"/>
        <w:rPr>
          <w:rFonts w:ascii="Times New Roman" w:hAnsi="Times New Roman" w:cs="Times New Roman"/>
          <w:b/>
          <w:bCs/>
          <w:lang w:val="tr-TR"/>
        </w:rPr>
      </w:pPr>
      <w:r>
        <w:rPr>
          <w:rFonts w:ascii="Times New Roman" w:hAnsi="Times New Roman" w:cs="Times New Roman"/>
          <w:b/>
          <w:bCs/>
          <w:lang w:val="tr-TR"/>
        </w:rPr>
        <w:t xml:space="preserve">KİM.12.3.3. Yapay zekâ uygulamalarının sürdürülebilirliğe etkilerine yönelik eleştirel düşünebilme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Yapay zekâ uygulamalarının yeşil kimya alanında da olumlu katkıları olduğunu içeren etkileşimli içerik hazırlanır. Yapay zekâ uygulamalarının etik ve çevresel sorunlara yol açma risklerini içeren video hazırlanır. Yapay zekâ kullanımının olumlu yanlarıyla birlikte daha az deney yapma, yeteneklerin yeterince kullanılamaması ve etik problemler gibi olumsuz yönlerini içeren video hazırlanır. Öğrencilerin yapay zekânın sürdürülebilirlik üzerindeki etkisini değerlendirebileceği ve eleştirel düşünebileceği etkileşimli içerik veya senaryo analizi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(Eşleştirme) Hazırlanacak:</w:t>
      </w:r>
    </w:p>
    <w:p>
      <w:pPr>
        <w:jc w:val="both"/>
        <w:rPr>
          <w:rFonts w:ascii="Times New Roman" w:hAnsi="Times New Roman" w:cs="Times New Roman"/>
          <w:lang w:val="tr-TR"/>
        </w:rPr>
      </w:pPr>
      <w:r>
        <w:rPr>
          <w:rFonts w:ascii="Times New Roman" w:hAnsi="Times New Roman" w:cs="Times New Roman"/>
          <w:lang w:val="tr-TR"/>
        </w:rPr>
        <w:t xml:space="preserve">Öğrenci soldaki yapay zekâ uygulamalarını sağdaki yeşil kimya ilkeleriyle eşleştirir; her doğru eşleştirmeden sonra uygulamanın olası kazanımı kısa bir metinle gösterilir.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0"/>
        <w:gridCol w:w="4200"/>
      </w:tblGrid>
      <w:tr>
        <w:tc>
          <w:tcPr>
            <w:tcW w:w="4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Yapay zekâ uygulaması</w:t>
            </w:r>
          </w:p>
        </w:tc>
        <w:tc>
          <w:tcPr>
            <w:tcW w:w="4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Yeşil kimya ilkesi</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Uygun katalizörü tahmin etme</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Kataliz</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Fabrikada sıcaklık ve derişimi sürekli izleme</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Kirliliği önlemek için gerçek zamanlı analiz</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Daha az zararlı çözücü önerme</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Daha güvenli çözücüler ve yardımcı maddeler</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En az yan ürün oluşturan tepkime yolunu bulma</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Atık oluşumunu önleme</w:t>
            </w:r>
          </w:p>
        </w:tc>
      </w:tr>
      <w:tr>
        <w:tc>
          <w:tcPr>
            <w:tcW w:w="4800" w:type="dxa"/>
            <w:vAlign w:val="center"/>
          </w:tcPr>
          <w:p>
            <w:pPr>
              <w:jc w:val="left"/>
              <w:rPr>
                <w:rFonts w:ascii="Times New Roman" w:hAnsi="Times New Roman" w:cs="Times New Roman"/>
                <w:lang w:val="tr-TR"/>
              </w:rPr>
            </w:pPr>
            <w:r>
              <w:rPr>
                <w:rFonts w:ascii="Times New Roman" w:hAnsi="Times New Roman" w:cs="Times New Roman"/>
                <w:lang w:val="tr-TR"/>
              </w:rPr>
              <w:t xml:space="preserve">Bir maddenin zehirliliğini üretilmeden tahmin etme</w:t>
            </w:r>
          </w:p>
        </w:tc>
        <w:tc>
          <w:tcPr>
            <w:tcW w:w="4200" w:type="dxa"/>
            <w:vAlign w:val="center"/>
          </w:tcPr>
          <w:p>
            <w:pPr>
              <w:jc w:val="left"/>
              <w:rPr>
                <w:rFonts w:ascii="Times New Roman" w:hAnsi="Times New Roman" w:cs="Times New Roman"/>
                <w:lang w:val="tr-TR"/>
              </w:rPr>
            </w:pPr>
            <w:r>
              <w:rPr>
                <w:rFonts w:ascii="Times New Roman" w:hAnsi="Times New Roman" w:cs="Times New Roman"/>
                <w:lang w:val="tr-TR"/>
              </w:rPr>
              <w:t xml:space="preserve">Daha güvenli kimyasallar tasarlama</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Video Hazırlanacak (Çevresel ve Etik Riskler):</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“Telefonunuza bir soru sorduğunuzda cevap uzaklardaki bir veri merkezinde hesaplanır (NOT: telefondan veri merkezine giden ışık çizgisi). Veri merkezlerinde binlerce sunucu gece gündüz çalışır ve ısınır; bu sunucuları soğutmak için çoğu zaman su kullanılır (NOT: soğutma kuleleri). Uluslararası Enerji Ajansına göre dünyadaki veri merkezleri 2024 yılında yaklaşık 415 terawatt saat elektrik tüketti; bu, dünya elektrik tüketiminin yaklaşık yüzde 1,5’i demektir. Ajans, bu tüketimin 2030’a kadar iki katından fazla artabileceğini ve artışın en büyük nedeninin yapay zekâ olacağını öngörüyor (NOT: yükselen sütun grafiği, kaynak yazısı ekranda). Sunucuların üretimi için metal çıkarılıyor, eskiyen cihazlar elektronik atığa dönüşüyor (NOT: e-atık yığını). Riskler yalnızca çevresel değil: İzinsiz toplanan kişisel veriler mahremiyeti tehdit edebilir, dengesiz verilerle eğitilen bir model bazı insanlar hakkında hatalı kararlar verebilir, ikna edici görünen ama yanlış bilgiler üretilebilir (NOT: kilit simgesi, terazi simgesi, soru işareti). Yapay zekâyı kullanırken amacımızı, kaynaklarımızı ve başkalarının haklarını düşünmek hepimizin sorumluluğudur.”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Videoda yalnızca IEA “Energy and AI” (2025) raporundaki değerler kullanılsın ve kaynak ekranda yazılsın. Su tüketimi için sayısal değer verilmesin.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Video Hazırlanacak (Eğitimde Olumlu ve Olumsuz Yönler):</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“Kimya ödevini hazırlayan iki arkadaşı izleyelim (NOT: iki öğrenci, masada bilgisayar). Elif yapay zekâdan konuyu farklı örneklerle açıklamasını istiyor, ardından deneyi kendisi yapıyor ve sonuçlarını kendi cümleleriyle yazıyor (NOT: Elif laboratuvarda ölçüm yapıyor). Can ise raporun tamamını yapay zekâya yazdırıyor, deneyi hiç yapmıyor (NOT: Can kopyala-yapıştır yapıyor). Raporlar teslim edildiğinde öğretmen bir soru soruyor: ‘Ölçümlerinizde neden farklı sonuçlar çıktı?’ (NOT: Elif cevap veriyor, Can duraksıyor.) Yapay zekâ öğrenmeyi kişiselleştirebilir ve bilgiye ulaşmayı kolaylaştırabilir. Ancak deney yapmadan, düşünmeden hazır cevaplara yönelmek gözlem, deney ve problem çözme becerilerimizin gelişmesini engeller. Başkasının ya da bir programın ürettiği metni kendi emeğimiz gibi sunmak ise etik bir sorundur. Sizce yapay zekâyı öğrenmenize nasıl yardımcı olacak şekilde kullanabilirsiniz?”</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Senaryo Analizi (Etkileşimli İçerik) Hazırlanacak:</w:t>
      </w:r>
    </w:p>
    <w:p>
      <w:pPr>
        <w:jc w:val="both"/>
        <w:rPr>
          <w:rFonts w:ascii="Times New Roman" w:hAnsi="Times New Roman" w:cs="Times New Roman"/>
          <w:lang w:val="tr-TR"/>
        </w:rPr>
      </w:pPr>
      <w:r>
        <w:rPr>
          <w:rFonts w:ascii="Times New Roman" w:hAnsi="Times New Roman" w:cs="Times New Roman"/>
          <w:lang w:val="tr-TR"/>
        </w:rPr>
        <w:t xml:space="preserve">Senaryo: “Bir şehir belediyesi, çöp toplama araçlarının rotalarını yapay zekâ ile planlamayı ve atık ayrıştırma tesisine görüntü tanıyan robotlar kurmayı düşünüyor.” Öğrenci üç adımda ilerler: (1) Sorgula: Ekrandaki soru kartlarından (Amaç nedir? Hangi veriler kullanılacak? Enerji ve donanım ihtiyacı ne olur? Kimler etkilenir?) en önemli bulduğu üçünü seçer. (2) Akıl yürüt: Olası katkılar (yakıt tasarrufu, daha az emisyon, daha çok geri dönüşüm) ve olası riskler (enerji ve donanım tüketimi, işçilerin işlerinin değişmesi, verilerin güvenliği) kartlarını “katkı” ve “risk” sütunlarına yerleştirir. (3) Yansıt: “Belediyeye önerim” kutusuna en az iki gerekçeli öneri yazar.</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Katkı: yakıt tasarrufu, daha az emisyon, daha çok geri dönüşüm. Risk: enerji ve donanım tüketimi, işçilerin işlerinin değişmesi, verilerin güvenliği. Öneri kutusu öğrencinin özgün cevabıdır.</w:t>
      </w:r>
    </w:p>
    <w:p>
      <w:pPr>
        <w:jc w:val="both"/>
        <w:rPr>
          <w:rFonts w:ascii="Times New Roman" w:hAnsi="Times New Roman" w:cs="Times New Roman"/>
          <w:b/>
          <w:bCs/>
          <w:lang w:val="tr-TR"/>
        </w:rPr>
      </w:pPr>
      <w:r>
        <w:rPr>
          <w:rFonts w:ascii="Times New Roman" w:hAnsi="Times New Roman" w:cs="Times New Roman"/>
          <w:b/>
          <w:bCs/>
          <w:lang w:val="tr-TR"/>
        </w:rPr>
        <w:t xml:space="preserve">ÜNİTE SONU DİJİTAL DEĞERLENDİRME SORULARI</w:t>
      </w:r>
    </w:p>
    <w:p>
      <w:pPr>
        <w:jc w:val="both"/>
        <w:rPr>
          <w:rFonts w:ascii="Times New Roman" w:hAnsi="Times New Roman" w:cs="Times New Roman"/>
          <w:lang w:val="tr-TR"/>
        </w:rPr>
      </w:pPr>
      <w:r>
        <w:rPr>
          <w:rFonts w:ascii="Times New Roman" w:hAnsi="Times New Roman" w:cs="Times New Roman"/>
          <w:lang w:val="tr-TR"/>
        </w:rPr>
        <w:t xml:space="preserve">Ünite sonu dijital değerlendirme soruları kitaptaki ünite sonu soruları formatında ayrı dosyada hazırlanmıştır: dijital/Kim12_tema-3-dijital-unite-sonu-sorulari.docx. Yayınevi bu dosyayı PDF’e dönüştürecek; PDF’e ünite sonu sorularının bulunduğu sayfadaki karekodla erişilecektir.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