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Bu soruların cevabını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p>
      <w:pPr>
        <w:jc w:val="center"/>
      </w:pPr>
      <w:r>
        <w:drawing>
          <wp:inline xmlns:a="http://schemas.openxmlformats.org/drawingml/2006/main" xmlns:pic="http://schemas.openxmlformats.org/drawingml/2006/picture">
            <wp:extent cx="3430127" cy="2517713"/>
            <wp:docPr id="900009" name="Picture 900009"/>
            <wp:cNvGraphicFramePr>
              <a:graphicFrameLocks noChangeAspect="1"/>
            </wp:cNvGraphicFramePr>
            <a:graphic>
              <a:graphicData uri="http://schemas.openxmlformats.org/drawingml/2006/picture">
                <pic:pic>
                  <pic:nvPicPr>
                    <pic:cNvPr id="0" name="2843947897_d.jpg"/>
                    <pic:cNvPicPr/>
                  </pic:nvPicPr>
                  <pic:blipFill>
                    <a:blip r:embed="rId11"/>
                    <a:stretch>
                      <a:fillRect/>
                    </a:stretch>
                  </pic:blipFill>
                  <pic:spPr>
                    <a:xfrm>
                      <a:off x="0" y="0"/>
                      <a:ext cx="3430127" cy="2517713"/>
                    </a:xfrm>
                    <a:prstGeom prst="rect"/>
                  </pic:spPr>
                </pic:pic>
              </a:graphicData>
            </a:graphic>
          </wp:inline>
        </w:drawing>
      </w:r>
    </w:p>
    <w:p>
      <w:pPr>
        <w:jc w:val="center"/>
      </w:pPr>
      <w:r>
        <w:rPr>
          <w:rFonts w:ascii="Times New Roman" w:hAnsi="Times New Roman" w:cs="Times New Roman"/>
          <w:b/>
          <w:bCs/>
          <w:highlight w:val="yellow"/>
          <w:lang w:val="tr-TR"/>
        </w:rPr>
        <w:t xml:space="preserve">Shutter id: 2040223691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p>
      <w:pPr>
        <w:jc w:val="center"/>
      </w:pPr>
      <w:r>
        <w:drawing>
          <wp:inline xmlns:a="http://schemas.openxmlformats.org/drawingml/2006/main" xmlns:pic="http://schemas.openxmlformats.org/drawingml/2006/picture">
            <wp:extent cx="3436363" cy="2520000"/>
            <wp:docPr id="900010" name="Picture 900010"/>
            <wp:cNvGraphicFramePr>
              <a:graphicFrameLocks noChangeAspect="1"/>
            </wp:cNvGraphicFramePr>
            <a:graphic>
              <a:graphicData uri="http://schemas.openxmlformats.org/drawingml/2006/picture">
                <pic:pic>
                  <pic:nvPicPr>
                    <pic:cNvPr id="0" name="2655026457_d.jpg"/>
                    <pic:cNvPicPr/>
                  </pic:nvPicPr>
                  <pic:blipFill>
                    <a:blip r:embed="rId12"/>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2655026457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 sistemlerinin dili anlama, görüntü tanıma, veri analizi yapma, tahmin yapma ve karar verme gibi insan zekâsı gerektiren işleri yerine getirmesini sağlayan bilgi işlem teknolojilerine </w:t>
            </w:r>
            <w:r>
              <w:rPr>
                <w:b/>
                <w:rFonts w:ascii="Times New Roman" w:hAnsi="Times New Roman" w:cs="Times New Roman"/>
                <w:lang w:val="tr-TR"/>
              </w:rPr>
              <w:t xml:space="preserve">yapay zekâ</w:t>
            </w:r>
            <w:r>
              <w:rPr>
                <w:rFonts w:ascii="Times New Roman" w:hAnsi="Times New Roman" w:cs="Times New Roman"/>
                <w:lang w:val="tr-TR"/>
              </w:rPr>
              <w:t xml:space="preserve"> denir. Yapay zekânın bir alt alanı olan </w:t>
            </w:r>
            <w:r>
              <w:rPr>
                <w:b/>
                <w:rFonts w:ascii="Times New Roman" w:hAnsi="Times New Roman" w:cs="Times New Roman"/>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uygulayarak tahmin yapar ya da karar alır. Bir modelin tahminlerinin doğruluğu, öğrendiği verilerin miktarına, doğruluğuna ve çeşitliliğine bağlıdır.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yapay zekâ uygulamaları ve bu uygulamaların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Birleşmiş Milletlerin 2015 yılında kabul ettiği sürdürülebilir kalkınma amaçları, bugünün ihtiyaçlarını gelecek kuşakların kendi ihtiyaçlarını karşılama olanağını tehlikeye atmadan karşılamayı hedefleyen 17 küresel amaçtır. Bunlardan bazıları şunlardır:</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Yeşil kimya, tehlikeli maddelerin kullanımını ve oluşumunu azaltan ya da ortadan kaldıran kimyasal ürün ve süreçlerin tasarlanmasıdır. İlkeleri şunlardır:</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verilen tablodaki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Nitelikli eğitim amacını (4. amaç) göz önünde bulundurarak yapay zekâ kullanımının öğrenmeye olumlu katkılarını ve olumsuz yönlerini (daha az deney yapma, yeteneklerin yeterince kullanılamaması, etik sorunlar)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enerji ve su tüketimi, etik sorunlar gibi olumsuz etkileri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Makine öğrenmesiyle çalışan bir yapay zekâ uygulaması iki aşamada hazırlanır ve kullanılır. Eğitim aşamasında model, çok büyük veri kümelerini defalarca işleyerek verilerdeki örüntüleri öğrenir. Kullanım aşamasında ise eğitilmiş model, kendisine sorulan yeni bir soruya ya da verilen yeni bir veriye öğrendiği örüntüleri uygulayarak cevap üretir. Örneğin binlerce tepkimenin sıcaklık, katalizör, çözücü ve verim verileriyle eğitilen bir model, henüz denenmemiş bir tepkime için hangi koşullarda yüksek verim alınabileceğini tahmin edebilir. Yapay zekâ uygulamalarının öne çıkan yeteneklerinden </w:t>
      </w:r>
      <w:r>
        <w:rPr>
          <w:b/>
          <w:rFonts w:ascii="Times New Roman" w:hAnsi="Times New Roman" w:cs="Times New Roman"/>
          <w:lang w:val="tr-TR"/>
        </w:rPr>
        <w:t xml:space="preserve">veri madenciliği</w:t>
      </w:r>
      <w:r>
        <w:rPr>
          <w:rFonts w:ascii="Times New Roman" w:hAnsi="Times New Roman" w:cs="Times New Roman"/>
          <w:lang w:val="tr-TR"/>
        </w:rPr>
        <w:t xml:space="preserve">, büyük veri yığınlarında gizli kalmış örüntülerin ve ilişkilerin bulunmasıdır; </w:t>
      </w:r>
      <w:r>
        <w:rPr>
          <w:b/>
          <w:rFonts w:ascii="Times New Roman" w:hAnsi="Times New Roman" w:cs="Times New Roman"/>
          <w:lang w:val="tr-TR"/>
        </w:rPr>
        <w:t xml:space="preserve">gerçek zamanlı analiz</w:t>
      </w:r>
      <w:r>
        <w:rPr>
          <w:rFonts w:ascii="Times New Roman" w:hAnsi="Times New Roman" w:cs="Times New Roman"/>
          <w:lang w:val="tr-TR"/>
        </w:rPr>
        <w:t xml:space="preserve"> ise verilerin oluştuğu anda işlenerek hemen karar verilmesidir.</w:t>
      </w:r>
    </w:p>
    <w:p>
      <w:pPr>
        <w:jc w:val="both"/>
        <w:rPr>
          <w:rFonts w:ascii="Times New Roman" w:hAnsi="Times New Roman" w:cs="Times New Roman"/>
          <w:lang w:val="tr-TR"/>
        </w:rPr>
      </w:pPr>
      <w:r>
        <w:rPr>
          <w:rFonts w:ascii="Times New Roman" w:hAnsi="Times New Roman" w:cs="Times New Roman"/>
          <w:lang w:val="tr-TR"/>
        </w:rPr>
        <w:t xml:space="preserve">Yapay zekâ uygulamaları sürdürülebilirliğe birçok yoldan katkı sağlayabilir: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Elektrik şebekesindeki tüketimi saatler öncesinden tahmin ederek santrallerin ve enerji depolama sistemlerinin daha verimli çalıştırılmasına yardımcı olur. Veri merkezlerinde ve fabrikalarda soğutma sistemlerini anlık koşullara göre ayarlayarak enerji israfını azaltabilir.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denizdeki petrol sızıntılarını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Yaprak görüntülerinden bitki hastalıklarını erken tanıyarak tarım ilaçlarının yalnızca gereken bölgelerde kullanılmasını sağlar; gıdaların depolama ve taşıma koşullarını izleyerek bozulmayı ve gıda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Üretimde talep tahmini fazla üretimi ve israfı azaltır; makinelerdeki arızaları önceden tahmin eden sistemler bakımın zamanında yapılmasını sağlayarak makinelerin ve parçaların ömrünü uzatır.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toplu taşıma seferlerinin yolcu yoğunluğuna göre düzenlenmesi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Yapay zekânın yeşil kimyaya katkısını bir örnek senaryo üzerinde inceleyelim. Bir ilaç ara ürününün sentezinde dört farklı sıcaklık, dört farklı katalizör, üç farklı çözücü ve iki farklı derişim denenebilsin. Bu durumda 4 · 4 · 3 · 2 = 96 farklı koşul vardır. Yapay zekâ destekli bir deneme planında model, her denemenin sonucundan öğrenerek bir sonraki denemede hangi koşulun deneneceğini seçer; böylece en yüksek verimin elde edildiği koşula çok daha az denemeyle ulaşılır. Bütün koşulların tek tek denenmesi ile yapay zekâ destekli deneme planının gerektirdiği kaynaklar Tablo A’da karşılaştırılmıştır.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Bir sentezde en uygun koşulun belirlenmesi için harcanan kaynaklar (örnek senaryo)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Nicelik</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Bütün koşulların tek tek denenmesi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Yapay zekâ destekli deneme planı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Yapılan deneme sayısı</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96</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18</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Kullanılan çözücü (L)</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48</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Oluşan kimyasal atık (kg)</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30</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5,6</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Laboratuvar çalışma süresi (gün)</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24</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örnekte daha az deneme yapılması ve daha az çözücü kullanılması atık oluşumunu önleme ilkesiyle uyumludur. Yapay zekâ benzer şekilde daha düşük sıcaklıkta çalışan süreçler için uygun katalizörlerin belirlenmesinde, kimyasal maddelerin zehirliliğinin ve çevresel etkilerinin henüz üretilmeden tahmin edilmesinde, atık akışlarının analizinde ve fabrikalardaki süreçlerin gerçek zamanlı izlenmesinde kullanılabilir. Daha az ham madde, enerji ve zaman harcanması üretim maliyetlerini düşürerek ülke ekonomisine de katkı sağlar. Ancak yapay zekânın önerdiği koşulun gerçekten en uygun koşul olup olmadığı yalnızca laboratuvarda yapılan denemelerle anlaşılabilir.</w:t>
      </w:r>
    </w:p>
    <w:p>
      <w:pPr>
        <w:jc w:val="both"/>
        <w:rPr>
          <w:rFonts w:ascii="Times New Roman" w:hAnsi="Times New Roman" w:cs="Times New Roman"/>
          <w:lang w:val="tr-TR"/>
        </w:rPr>
      </w:pPr>
      <w:r>
        <w:rPr>
          <w:rFonts w:ascii="Times New Roman" w:hAnsi="Times New Roman" w:cs="Times New Roman"/>
          <w:lang w:val="tr-TR"/>
        </w:rPr>
        <w:t xml:space="preserve">Yapay zekânın kendisi de kaynak tüketir. Büyük bir modelin eğitimi çok sayıda güçlü bilgisayarın haftalarca çalışmasını gerektirir; kullanım aşamasında ise tek bir isteğin tükettiği enerji küçük olsa da milyonlarca kullanıcıdan gelen isteklerle toplam tüketim büyür. Bu nedenle yapay zekâ uygulamalarının çalıştığı veri merkezlerinin elektrik tüketiminin önümüzdeki yıllarda hızla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yapay zekânın ne kendiliğinden çevre dostu ne de kendiliğinden zararlı olduğu görülür.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Bir okulun yıllık elektrik tüketimi 120 000 kWh’tir. Okulda kurulan akıllı bina yönetim sistemi ısıtma, soğutma ve aydınlatmayı ihtiyaca göre ayarlayarak bu tüketimi %15 azaltmaktadır. Sistemin sensörleri ve verileri işleyen bilgisayarı ise yılda 2400 kWh elektrik tüketmektedir. Sistemin sağladığı net tasarruf kaç kWh’tir? Net tasarruf, okulun ilk tüketiminin yüzde kaçıdır?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Tüketimdeki azalma = 120 000 kWh · (15 / 100) = 18 000 kWh</w:t>
      </w:r>
    </w:p>
    <w:p>
      <w:pPr>
        <w:jc w:val="both"/>
        <w:rPr>
          <w:rFonts w:ascii="Times New Roman" w:hAnsi="Times New Roman" w:cs="Times New Roman"/>
          <w:lang w:val="tr-TR"/>
        </w:rPr>
      </w:pPr>
      <w:r>
        <w:rPr>
          <w:rFonts w:ascii="Times New Roman" w:hAnsi="Times New Roman" w:cs="Times New Roman"/>
          <w:lang w:val="tr-TR"/>
        </w:rPr>
        <w:t xml:space="preserve">Net tasarruf = 18 000 kWh − 2400 kWh = 15 600 kWh</w:t>
      </w:r>
    </w:p>
    <w:p>
      <w:pPr>
        <w:jc w:val="both"/>
        <w:rPr>
          <w:rFonts w:ascii="Times New Roman" w:hAnsi="Times New Roman" w:cs="Times New Roman"/>
          <w:lang w:val="tr-TR"/>
        </w:rPr>
      </w:pPr>
      <w:r>
        <w:rPr>
          <w:rFonts w:ascii="Times New Roman" w:hAnsi="Times New Roman" w:cs="Times New Roman"/>
          <w:lang w:val="tr-TR"/>
        </w:rPr>
        <w:t xml:space="preserve">Net tasarruf (%) = (15 600 kWh / 120 000 kWh) · 100 = %13</w:t>
      </w:r>
    </w:p>
    <w:p>
      <w:pPr>
        <w:jc w:val="both"/>
        <w:rPr>
          <w:rFonts w:ascii="Times New Roman" w:hAnsi="Times New Roman" w:cs="Times New Roman"/>
          <w:lang w:val="tr-TR"/>
        </w:rPr>
      </w:pPr>
      <w:r>
        <w:rPr>
          <w:rFonts w:ascii="Times New Roman" w:hAnsi="Times New Roman" w:cs="Times New Roman"/>
          <w:lang w:val="tr-TR"/>
        </w:rPr>
        <w:t xml:space="preserve">Sistemin kendi tüketimi hesaba katılmadığında tasarruf %15 görünürken net tasarruf %13’tür. Bir yapay zekâ uygulamasının katkısı, uygulamanın kendi kaynak tüketimi de hesaba katılarak değerlendirilmelidir.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veri merkezi yılda 50 GWh elektrik tüketmektedir ve bu elektriğin %40’ı sunucuların soğutulması için kullanılmaktadır. Yapay zekâ destekli bir kontrol sistemi soğutma için harcanan elektriği %30 azaltırsa veri merkezinin yıllık elektrik tüketimi kaç GWh olur? Toplam tüketim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 Tablo A, Örnek-Çözüm Atölyesi 3.7. ve Sıra Sizde 3.3.’ün 3. sorusundaki değerler öğretim amaçlı örnek senaryolardır.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