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Buz sıvı sudan daha az yoğun olduğu için kışın göllerin yüzeyi donarken altındaki su sıvı kalır (Görsel B).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3" name="Picture 900013"/>
                  <wp:cNvGraphicFramePr>
                    <a:graphicFrameLocks noChangeAspect="1"/>
                  </wp:cNvGraphicFramePr>
                  <a:graphic>
                    <a:graphicData uri="http://schemas.openxmlformats.org/drawingml/2006/picture">
                      <pic:pic>
                        <pic:nvPicPr>
                          <pic:cNvPr id="0" name="2689872167_d.jpg"/>
                          <pic:cNvPicPr/>
                        </pic:nvPicPr>
                        <pic:blipFill>
                          <a:blip r:embed="rId11"/>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2689872167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tc>
        <w:tc>
          <w:tcPr>
            <w:tcW w:w="4500" w:type="dxa"/>
          </w:tcPr>
          <w:p>
            <w:pPr>
              <w:jc w:val="center"/>
            </w:pPr>
            <w:r>
              <w:drawing>
                <wp:inline xmlns:a="http://schemas.openxmlformats.org/drawingml/2006/main" xmlns:pic="http://schemas.openxmlformats.org/drawingml/2006/picture">
                  <wp:extent cx="2628000" cy="1927200"/>
                  <wp:docPr id="900015" name="Picture 900015"/>
                  <wp:cNvGraphicFramePr>
                    <a:graphicFrameLocks noChangeAspect="1"/>
                  </wp:cNvGraphicFramePr>
                  <a:graphic>
                    <a:graphicData uri="http://schemas.openxmlformats.org/drawingml/2006/picture">
                      <pic:pic>
                        <pic:nvPicPr>
                          <pic:cNvPr id="0" name="2691997839_d.jpg"/>
                          <pic:cNvPicPr/>
                        </pic:nvPicPr>
                        <pic:blipFill>
                          <a:blip r:embed="rId13"/>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2691997839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donmuş bir göl</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581915"/>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58191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09423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398018" cy="109423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1779749" cy="2519999"/>
            <wp:docPr id="900014" name="Picture 900014"/>
            <wp:cNvGraphicFramePr>
              <a:graphicFrameLocks noChangeAspect="1"/>
            </wp:cNvGraphicFramePr>
            <a:graphic>
              <a:graphicData uri="http://schemas.openxmlformats.org/drawingml/2006/picture">
                <pic:pic>
                  <pic:nvPicPr>
                    <pic:cNvPr id="0" name="2074189445_d.jpg"/>
                    <pic:cNvPicPr/>
                  </pic:nvPicPr>
                  <pic:blipFill>
                    <a:blip r:embed="rId12"/>
                    <a:stretch>
                      <a:fillRect/>
                    </a:stretch>
                  </pic:blipFill>
                  <pic:spPr>
                    <a:xfrm>
                      <a:off x="0" y="0"/>
                      <a:ext cx="1779749"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2074189445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Allotropes of Carbon: Karbonun allotropları; Diamond: Elmas; Graphite: Grafit; Fullerene: Fulleren; Graphene: Grafen.</w:t>
      </w: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495808" cy="1136906"/>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4495808" cy="11369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C).</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