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3.1.</w:t>
      </w:r>
    </w:p>
    <w:p>
      <w:pPr>
        <w:jc w:val="both"/>
        <w:rPr>
          <w:rFonts w:ascii="Times New Roman" w:hAnsi="Times New Roman" w:cs="Times New Roman"/>
          <w:lang w:val="tr-TR"/>
        </w:rPr>
      </w:pPr>
      <w:r>
        <w:rPr>
          <w:rFonts w:ascii="Times New Roman" w:hAnsi="Times New Roman" w:cs="Times New Roman"/>
          <w:lang w:val="tr-TR"/>
        </w:rPr>
        <w:t xml:space="preserve">Öğrenci özgün cevabını oluşturur. Kapalı uçlu kısımlar: Ölçüm tablosundaki verimler (η = P</w:t>
      </w:r>
      <w:r>
        <w:rPr>
          <w:rFonts w:ascii="Times New Roman" w:hAnsi="Times New Roman" w:cs="Times New Roman"/>
          <w:vertAlign w:val="subscript"/>
          <w:lang w:val="tr-TR"/>
        </w:rPr>
        <w:t xml:space="preserve">en yüksek</w:t>
      </w:r>
      <w:r>
        <w:rPr>
          <w:rFonts w:ascii="Times New Roman" w:hAnsi="Times New Roman" w:cs="Times New Roman"/>
          <w:lang w:val="tr-TR"/>
        </w:rPr>
        <w:t xml:space="preserve"> / 100 mW/cm² · 100): böğürtlen %0,60; karadut %0,71; kırmızı lahana %0,30; ıspanak %0,18; zerdeçal %0,25; sentetik rutenyum kompleksi %8,06; böğürtlen + gümüş nanoparçacık %0,77. Işık şiddeti tablosu: Işık gücü 1000 W/m²’den 10 W/m²’ye düştüğünde silisyum hücrenin verimi %20,0’dan %12,0’ye azalır; boyaya duyarlı hücrenin verimi %10,0’dan %11,8’e çıkar, yani düşük ışıktan çok az etkilenir. Doğal boyalar arasında en yüksek verim karadut, en düşük verim ıspanak özütüyle elde edilmiştir. Gümüş nanoparçacık eklenince açık devre gerilimi (0,52 → 0,53 V) ve özellikle kısa devre akım yoğunluğu (2,10 → 2,60 mA/cm²) artmış, verim yükselmiştir. Kutudaki maddeler sorusu: Silisyum ve titanyum dioksit bol ve ucuzdur (silisyumun güneş pili saflığına getirilmesi ise çok enerji gerektirir); rutenyum, platin ve tellür nadir ve pahalıdır; kadmiyum zehirlidir. Nadir ve pahalı maddeler maliyeti artırıp yaygınlaşmayı sınırlar, zehirli maddeler üretim ve atık aşamasında çevre riski oluşturur. Kendi hücresinin verimi: Ölçülen en yüksek güç (P = V · I) hücreye gelen ışık gücüne (ışık gücü · yüzey alanı) bölünüp 100 ile çarpılarak hesaplanır; doğal boyalı hücrelerde genellikle %1’in altında bir değer beklenir.</w:t>
      </w:r>
    </w:p>
    <w:p>
      <w:pPr>
        <w:jc w:val="both"/>
        <w:rPr>
          <w:rFonts w:ascii="Times New Roman" w:hAnsi="Times New Roman" w:cs="Times New Roman"/>
          <w:b/>
          <w:bCs/>
          <w:lang w:val="tr-TR"/>
        </w:rPr>
      </w:pPr>
      <w:r>
        <w:rPr>
          <w:rFonts w:ascii="Times New Roman" w:hAnsi="Times New Roman" w:cs="Times New Roman"/>
          <w:b/>
          <w:bCs/>
          <w:lang w:val="tr-TR"/>
        </w:rPr>
        <w:t xml:space="preserve">Sıra Sizde 3.1.</w:t>
      </w:r>
    </w:p>
    <w:p>
      <w:pPr>
        <w:jc w:val="both"/>
        <w:rPr>
          <w:rFonts w:ascii="Times New Roman" w:hAnsi="Times New Roman" w:cs="Times New Roman"/>
          <w:lang w:val="tr-TR"/>
        </w:rPr>
      </w:pPr>
      <w:r>
        <w:rPr>
          <w:rFonts w:ascii="Times New Roman" w:hAnsi="Times New Roman" w:cs="Times New Roman"/>
          <w:lang w:val="tr-TR"/>
        </w:rPr>
        <w:t xml:space="preserve">1. Y, D, Y, D, D</w:t>
      </w:r>
    </w:p>
    <w:p>
      <w:pPr>
        <w:jc w:val="both"/>
        <w:rPr>
          <w:rFonts w:ascii="Times New Roman" w:hAnsi="Times New Roman" w:cs="Times New Roman"/>
          <w:lang w:val="tr-TR"/>
        </w:rPr>
      </w:pPr>
      <w:r>
        <w:rPr>
          <w:rFonts w:ascii="Times New Roman" w:hAnsi="Times New Roman" w:cs="Times New Roman"/>
          <w:lang w:val="tr-TR"/>
        </w:rPr>
        <w:t xml:space="preserve">2. P</w:t>
      </w:r>
      <w:r>
        <w:rPr>
          <w:rFonts w:ascii="Times New Roman" w:hAnsi="Times New Roman" w:cs="Times New Roman"/>
          <w:vertAlign w:val="subscript"/>
          <w:lang w:val="tr-TR"/>
        </w:rPr>
        <w:t xml:space="preserve">en yüksek</w:t>
      </w:r>
      <w:r>
        <w:rPr>
          <w:rFonts w:ascii="Times New Roman" w:hAnsi="Times New Roman" w:cs="Times New Roman"/>
          <w:lang w:val="tr-TR"/>
        </w:rPr>
        <w:t xml:space="preserve"> = 0,45 V · 3,2 mA = 1,44 mW; P</w:t>
      </w:r>
      <w:r>
        <w:rPr>
          <w:rFonts w:ascii="Times New Roman" w:hAnsi="Times New Roman" w:cs="Times New Roman"/>
          <w:vertAlign w:val="subscript"/>
          <w:lang w:val="tr-TR"/>
        </w:rPr>
        <w:t xml:space="preserve">gelen</w:t>
      </w:r>
      <w:r>
        <w:rPr>
          <w:rFonts w:ascii="Times New Roman" w:hAnsi="Times New Roman" w:cs="Times New Roman"/>
          <w:lang w:val="tr-TR"/>
        </w:rPr>
        <w:t xml:space="preserve"> = 100 mW/cm² · 2,0 cm² = 200 mW; η = (1,44 / 200) · 100 = %0,72</w:t>
      </w:r>
    </w:p>
    <w:p>
      <w:pPr>
        <w:jc w:val="both"/>
        <w:rPr>
          <w:rFonts w:ascii="Times New Roman" w:hAnsi="Times New Roman" w:cs="Times New Roman"/>
          <w:lang w:val="tr-TR"/>
        </w:rPr>
      </w:pPr>
      <w:r>
        <w:rPr>
          <w:rFonts w:ascii="Times New Roman" w:hAnsi="Times New Roman" w:cs="Times New Roman"/>
          <w:lang w:val="tr-TR"/>
        </w:rPr>
        <w:t xml:space="preserve">3. P</w:t>
      </w:r>
      <w:r>
        <w:rPr>
          <w:rFonts w:ascii="Times New Roman" w:hAnsi="Times New Roman" w:cs="Times New Roman"/>
          <w:vertAlign w:val="subscript"/>
          <w:lang w:val="tr-TR"/>
        </w:rPr>
        <w:t xml:space="preserve">en yüksek</w:t>
      </w:r>
      <w:r>
        <w:rPr>
          <w:rFonts w:ascii="Times New Roman" w:hAnsi="Times New Roman" w:cs="Times New Roman"/>
          <w:lang w:val="tr-TR"/>
        </w:rPr>
        <w:t xml:space="preserve"> = 0,50 V · 4,0 mA · 0,60 = 1,2 mW; P</w:t>
      </w:r>
      <w:r>
        <w:rPr>
          <w:rFonts w:ascii="Times New Roman" w:hAnsi="Times New Roman" w:cs="Times New Roman"/>
          <w:vertAlign w:val="subscript"/>
          <w:lang w:val="tr-TR"/>
        </w:rPr>
        <w:t xml:space="preserve">gelen</w:t>
      </w:r>
      <w:r>
        <w:rPr>
          <w:rFonts w:ascii="Times New Roman" w:hAnsi="Times New Roman" w:cs="Times New Roman"/>
          <w:lang w:val="tr-TR"/>
        </w:rPr>
        <w:t xml:space="preserve"> = 200 mW; η = (1,2 / 200) · 100 = %0,60</w:t>
      </w:r>
    </w:p>
    <w:p>
      <w:pPr>
        <w:jc w:val="both"/>
        <w:rPr>
          <w:rFonts w:ascii="Times New Roman" w:hAnsi="Times New Roman" w:cs="Times New Roman"/>
          <w:lang w:val="tr-TR"/>
        </w:rPr>
      </w:pPr>
      <w:r>
        <w:rPr>
          <w:rFonts w:ascii="Times New Roman" w:hAnsi="Times New Roman" w:cs="Times New Roman"/>
          <w:lang w:val="tr-TR"/>
        </w:rPr>
        <w:t xml:space="preserve">4. Kırmızı gül yaprağı özütündeki antosiyaninlerin yan yana bulunan –OH grupları titanyum dioksit yüzeyine bağlanır; boya yüzeye sıkıca tutunur ve uyarılmış boyadan titanyum dioksite elektron geçişi kolaylaşır. Maydanozdaki klorofilde bu tür bağlanma grupları bulunmadığından yüzeye tutunma ve elektron aktarımı zayıftır; bu nedenle verim düşüktür.</w:t>
      </w:r>
    </w:p>
    <w:p>
      <w:pPr>
        <w:jc w:val="both"/>
        <w:rPr>
          <w:rFonts w:ascii="Times New Roman" w:hAnsi="Times New Roman" w:cs="Times New Roman"/>
          <w:lang w:val="tr-TR"/>
        </w:rPr>
      </w:pPr>
      <w:r>
        <w:rPr>
          <w:rFonts w:ascii="Times New Roman" w:hAnsi="Times New Roman" w:cs="Times New Roman"/>
          <w:lang w:val="tr-TR"/>
        </w:rPr>
        <w:t xml:space="preserve">5. Her ikisi de ışığı soğurarak elektron kaybeden maddeye (klorofil / boya) elektron vererek onu ilk hâline döndürür. Fotosentezde su yükseltgenir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 su tükenir. Boyaya duyarlı pilde iyodür iyonları yükseltgenerek I</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I</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karşı elektrotta dış devreden gelen elektronlarla yeniden I</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indirgenir, yani elektrolit harcanmaz, döngü hâlinde çalışır.</w:t>
      </w:r>
    </w:p>
    <w:p>
      <w:pPr>
        <w:jc w:val="both"/>
        <w:rPr>
          <w:rFonts w:ascii="Times New Roman" w:hAnsi="Times New Roman" w:cs="Times New Roman"/>
          <w:lang w:val="tr-TR"/>
        </w:rPr>
      </w:pPr>
      <w:r>
        <w:rPr>
          <w:rFonts w:ascii="Times New Roman" w:hAnsi="Times New Roman" w:cs="Times New Roman"/>
          <w:lang w:val="tr-TR"/>
        </w:rPr>
        <w:t xml:space="preserve">6. Öğrenci özgün cevabını oluşturur. Beklenen: Çatıya doğrudan güneş ışığı aldığı ve yüksek verim önemli olduğu için silisyum paneller; kuzeye bakan pencerelere yarı saydam olduğu, dağınık ışıkta verimini koruduğu ve düşük enerjiyle üretildiği için boyaya duyarlı güneş pilleri. Ömür, elektrolit sızıntısı ve atık yönetimi gibi sınırlılıklara değinilmesi beklenir.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3.2.</w:t>
      </w:r>
    </w:p>
    <w:p>
      <w:pPr>
        <w:jc w:val="both"/>
        <w:rPr>
          <w:rFonts w:ascii="Times New Roman" w:hAnsi="Times New Roman" w:cs="Times New Roman"/>
          <w:lang w:val="tr-TR"/>
        </w:rPr>
      </w:pPr>
      <w:r>
        <w:rPr>
          <w:rFonts w:ascii="Times New Roman" w:hAnsi="Times New Roman" w:cs="Times New Roman"/>
          <w:lang w:val="tr-TR"/>
        </w:rPr>
        <w:t xml:space="preserve">Öğrenci özgün cevabını oluşturur. Kapalı uçlu kısımlar: Polisakkaritler: selüloz (glikoz), nişasta (glikoz), pektin (galakturonik asit), kitosan (glukozamin). Proteinler: jelatin, kolajen, glüten, soya proteini (amino asitler). Ortaklık: Hepsi bitki ya da hayvan kaynaklıdır (biyokütle, tarımsal kaynak); toprakta mikroorganizmalarca parçalanırlar. Hazır veri seti: Gliserin miktarı arttıkça esneklik, suda şişme ve toprakta kütle kaybı artar; suda dağılma süresi kısalır. Bileşen görevleri: nişasta ana polimer, su çözücü ve jelleştirici ortam, sirke daha düzgün ve daha az kırılgan film, gliserin plastikleştirici. Biyomalzeme sorusu: Yenilebilir filmlerin, dikiş malzemelerinin ve vücutta bozunan stentlerin işlevini tamamladıktan sonra bozunması; sentetik damar, protez, implant ve diş tellerinin ise uzun süre bozunmadan kalması gerekir.</w:t>
      </w:r>
    </w:p>
    <w:p>
      <w:pPr>
        <w:jc w:val="both"/>
        <w:rPr>
          <w:rFonts w:ascii="Times New Roman" w:hAnsi="Times New Roman" w:cs="Times New Roman"/>
          <w:b/>
          <w:bCs/>
          <w:lang w:val="tr-TR"/>
        </w:rPr>
      </w:pPr>
      <w:r>
        <w:rPr>
          <w:rFonts w:ascii="Times New Roman" w:hAnsi="Times New Roman" w:cs="Times New Roman"/>
          <w:b/>
          <w:bCs/>
          <w:lang w:val="tr-TR"/>
        </w:rPr>
        <w:t xml:space="preserve">Sıra Sizde 3.2.</w:t>
      </w:r>
    </w:p>
    <w:p>
      <w:pPr>
        <w:jc w:val="both"/>
        <w:rPr>
          <w:rFonts w:ascii="Times New Roman" w:hAnsi="Times New Roman" w:cs="Times New Roman"/>
          <w:lang w:val="tr-TR"/>
        </w:rPr>
      </w:pPr>
      <w:r>
        <w:rPr>
          <w:rFonts w:ascii="Times New Roman" w:hAnsi="Times New Roman" w:cs="Times New Roman"/>
          <w:lang w:val="tr-TR"/>
        </w:rPr>
        <w:t xml:space="preserve">1. Y, Y, D, D, D</w:t>
      </w:r>
    </w:p>
    <w:p>
      <w:pPr>
        <w:jc w:val="both"/>
        <w:rPr>
          <w:rFonts w:ascii="Times New Roman" w:hAnsi="Times New Roman" w:cs="Times New Roman"/>
          <w:lang w:val="tr-TR"/>
        </w:rPr>
      </w:pPr>
      <w:r>
        <w:rPr>
          <w:rFonts w:ascii="Times New Roman" w:hAnsi="Times New Roman" w:cs="Times New Roman"/>
          <w:lang w:val="tr-TR"/>
        </w:rPr>
        <w:t xml:space="preserve">2. Şişme (%) = [(1,40 − 0,80) / 0,80] · 100 = %75</w:t>
      </w:r>
    </w:p>
    <w:p>
      <w:pPr>
        <w:jc w:val="both"/>
        <w:rPr>
          <w:rFonts w:ascii="Times New Roman" w:hAnsi="Times New Roman" w:cs="Times New Roman"/>
          <w:lang w:val="tr-TR"/>
        </w:rPr>
      </w:pPr>
      <w:r>
        <w:rPr>
          <w:rFonts w:ascii="Times New Roman" w:hAnsi="Times New Roman" w:cs="Times New Roman"/>
          <w:lang w:val="tr-TR"/>
        </w:rPr>
        <w:t xml:space="preserve">3. Kütle kaybı (%) = [(2,40 − 0,60) / 2,40] · 100 = %75</w:t>
      </w:r>
    </w:p>
    <w:p>
      <w:pPr>
        <w:jc w:val="both"/>
        <w:rPr>
          <w:rFonts w:ascii="Times New Roman" w:hAnsi="Times New Roman" w:cs="Times New Roman"/>
          <w:lang w:val="tr-TR"/>
        </w:rPr>
      </w:pPr>
      <w:r>
        <w:rPr>
          <w:rFonts w:ascii="Times New Roman" w:hAnsi="Times New Roman" w:cs="Times New Roman"/>
          <w:lang w:val="tr-TR"/>
        </w:rPr>
        <w:t xml:space="preserve">4. B filmi önerilir: Saydamdır, esnektir ve kırılmadan 10 kez katlanabilir. A kırılgan ve bulanık, C yapışkan ve suda çabuk dağılan, D opak olduğu için amaca uygun değildir. (Esnekliği biraz artırmak için gliserin miktarının 3 mL ile 7 mL arasında bir değere çıkarılıp denenmesi de gerekçeli olarak kabul edilir.)</w:t>
      </w:r>
    </w:p>
    <w:p>
      <w:pPr>
        <w:jc w:val="both"/>
        <w:rPr>
          <w:rFonts w:ascii="Times New Roman" w:hAnsi="Times New Roman" w:cs="Times New Roman"/>
          <w:lang w:val="tr-TR"/>
        </w:rPr>
      </w:pPr>
      <w:r>
        <w:rPr>
          <w:rFonts w:ascii="Times New Roman" w:hAnsi="Times New Roman" w:cs="Times New Roman"/>
          <w:lang w:val="tr-TR"/>
        </w:rPr>
        <w:t xml:space="preserve">5. Gliserin üç –OH grubu taşıyan küçük bir moleküldür. Nişasta zincirleri arasına girip zincirlerle hidrojen bağı yaparak zincirlerin birbirine tutunmasını zayıflatır; zincirler birbiri üzerinden kolayca kayar ve film esnekleşir. –OH grupları su molekülleriyle de hidrojen bağı yaptığından gliserin suyu çeker; film suda daha çok şişer ve daha hızlı dağılır.</w:t>
      </w:r>
    </w:p>
    <w:p>
      <w:pPr>
        <w:jc w:val="both"/>
        <w:rPr>
          <w:rFonts w:ascii="Times New Roman" w:hAnsi="Times New Roman" w:cs="Times New Roman"/>
          <w:lang w:val="tr-TR"/>
        </w:rPr>
      </w:pPr>
      <w:r>
        <w:rPr>
          <w:rFonts w:ascii="Times New Roman" w:hAnsi="Times New Roman" w:cs="Times New Roman"/>
          <w:lang w:val="tr-TR"/>
        </w:rPr>
        <w:t xml:space="preserve">6. Şeker kamışı kaynaklı polietilen: biyokaynaklı. Nişasta, PLA ve jelatin: hem biyokaynaklı hem biyobozunur. Petrol kaynaklı biyobozunur polyester: biyobozunur.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3.3.</w:t>
      </w:r>
    </w:p>
    <w:p>
      <w:pPr>
        <w:jc w:val="both"/>
        <w:rPr>
          <w:rFonts w:ascii="Times New Roman" w:hAnsi="Times New Roman" w:cs="Times New Roman"/>
          <w:lang w:val="tr-TR"/>
        </w:rPr>
      </w:pPr>
      <w:r>
        <w:rPr>
          <w:rFonts w:ascii="Times New Roman" w:hAnsi="Times New Roman" w:cs="Times New Roman"/>
          <w:lang w:val="tr-TR"/>
        </w:rPr>
        <w:t xml:space="preserve">Öğrenci özgün cevabını oluşturur. İddiaların değerlendirilmesi için beklenen: 1. Kanıta dayanmaz; uygulamanın amacı ve kaynak tüketimi değerlendirilmelidir. 2. Kısmen kanıta dayanır; tahminler deneyle doğrulanmalıdır, modelin eğitimi de enerji tüketir. 3. Kanıta dayanmaz; su tüketimi, donanım üretimi ve elektronik atık gibi etkiler sürer. 4. Kanıta dayanmaz; öğrenme ve beceri gelişimi engellenir, emeğin sahipliği açısından etik sorun oluşur.</w:t>
      </w:r>
    </w:p>
    <w:p>
      <w:pPr>
        <w:jc w:val="both"/>
        <w:rPr>
          <w:rFonts w:ascii="Times New Roman" w:hAnsi="Times New Roman" w:cs="Times New Roman"/>
          <w:b/>
          <w:bCs/>
          <w:lang w:val="tr-TR"/>
        </w:rPr>
      </w:pPr>
      <w:r>
        <w:rPr>
          <w:rFonts w:ascii="Times New Roman" w:hAnsi="Times New Roman" w:cs="Times New Roman"/>
          <w:b/>
          <w:bCs/>
          <w:lang w:val="tr-TR"/>
        </w:rPr>
        <w:t xml:space="preserve">Sıra Sizde 3.3.</w:t>
      </w:r>
    </w:p>
    <w:p>
      <w:pPr>
        <w:jc w:val="both"/>
        <w:rPr>
          <w:rFonts w:ascii="Times New Roman" w:hAnsi="Times New Roman" w:cs="Times New Roman"/>
          <w:lang w:val="tr-TR"/>
        </w:rPr>
      </w:pPr>
      <w:r>
        <w:rPr>
          <w:rFonts w:ascii="Times New Roman" w:hAnsi="Times New Roman" w:cs="Times New Roman"/>
          <w:lang w:val="tr-TR"/>
        </w:rPr>
        <w:t xml:space="preserve">1. 1-ç, 2-a, 3-b, 4-c</w:t>
      </w:r>
    </w:p>
    <w:p>
      <w:pPr>
        <w:jc w:val="both"/>
        <w:rPr>
          <w:rFonts w:ascii="Times New Roman" w:hAnsi="Times New Roman" w:cs="Times New Roman"/>
          <w:lang w:val="tr-TR"/>
        </w:rPr>
      </w:pPr>
      <w:r>
        <w:rPr>
          <w:rFonts w:ascii="Times New Roman" w:hAnsi="Times New Roman" w:cs="Times New Roman"/>
          <w:lang w:val="tr-TR"/>
        </w:rPr>
        <w:t xml:space="preserve">2. a) Olası katkı b) Olası risk c) Olası katkı ç) Olası risk d) Olası risk</w:t>
      </w:r>
    </w:p>
    <w:p>
      <w:pPr>
        <w:jc w:val="both"/>
        <w:rPr>
          <w:rFonts w:ascii="Times New Roman" w:hAnsi="Times New Roman" w:cs="Times New Roman"/>
          <w:lang w:val="tr-TR"/>
        </w:rPr>
      </w:pPr>
      <w:r>
        <w:rPr>
          <w:rFonts w:ascii="Times New Roman" w:hAnsi="Times New Roman" w:cs="Times New Roman"/>
          <w:lang w:val="tr-TR"/>
        </w:rPr>
        <w:t xml:space="preserve">3. Soğutma için kullanılan elektrik = 50 GWh · (40 / 100) = 20 GWh; soğutmadaki azalma = 20 GWh · (30 / 100) = 6 GWh. Yeni yıllık tüketim = 50 GWh − 6 GWh = 44 GWh. Toplam tüketimdeki azalma = (6 / 50) · 100 = %12.</w:t>
      </w:r>
    </w:p>
    <w:p>
      <w:pPr>
        <w:jc w:val="both"/>
        <w:rPr>
          <w:rFonts w:ascii="Times New Roman" w:hAnsi="Times New Roman" w:cs="Times New Roman"/>
          <w:lang w:val="tr-TR"/>
        </w:rPr>
      </w:pPr>
      <w:r>
        <w:rPr>
          <w:rFonts w:ascii="Times New Roman" w:hAnsi="Times New Roman" w:cs="Times New Roman"/>
          <w:lang w:val="tr-TR"/>
        </w:rPr>
        <w:t xml:space="preserve">4. Öğrenci özgün cevabını oluşturur. Beklenen: İddiaya katılınmaz. Verimlilik artışı bir hizmeti ucuzlatıp kullanımını artırabilir; tasarrufun bir kısmı kaybolur. Ayrıca veri merkezlerinin elektrik tüketimi hızla artmaktadır (IEA’ya göre 2030’a kadar iki katından fazla). Toplam etki, sağlanan tasarruf ile yapay zekânın kendi tüketiminin karşılaştırılmasıyla belirlenebilir.</w:t>
      </w:r>
    </w:p>
    <w:p>
      <w:pPr>
        <w:jc w:val="both"/>
        <w:rPr>
          <w:rFonts w:ascii="Times New Roman" w:hAnsi="Times New Roman" w:cs="Times New Roman"/>
          <w:lang w:val="tr-TR"/>
        </w:rPr>
      </w:pPr>
      <w:r>
        <w:rPr>
          <w:rFonts w:ascii="Times New Roman" w:hAnsi="Times New Roman" w:cs="Times New Roman"/>
          <w:lang w:val="tr-TR"/>
        </w:rPr>
        <w:t xml:space="preserve">5. Öğrenci özgün cevabını oluşturur. Beklenen: Daha az deneme ve atık, daha az enerji ve çözücü, daha güvenli çözücü/katalizör seçimi (atık önleme, kataliz, enerji verimliliği, daha güvenli çözücüler ilkeleri). Dikkat edilecekler: tahminlerin deneyle doğrulanması, verilerin güvenilirliği, modelin enerji tüketimi, zehirlilik ve güvenlik denetimlerinin atlanmaması.</w:t>
      </w:r>
    </w:p>
    <w:p>
      <w:pPr>
        <w:jc w:val="both"/>
        <w:rPr>
          <w:rFonts w:ascii="Times New Roman" w:hAnsi="Times New Roman" w:cs="Times New Roman"/>
          <w:lang w:val="tr-TR"/>
        </w:rPr>
      </w:pPr>
      <w:r>
        <w:rPr>
          <w:rFonts w:ascii="Times New Roman" w:hAnsi="Times New Roman" w:cs="Times New Roman"/>
          <w:lang w:val="tr-TR"/>
        </w:rPr>
        <w:t xml:space="preserve">6.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3. Tema Ünite Sonu Değerlendirme Soruları</w:t>
      </w:r>
    </w:p>
    <w:p>
      <w:pPr>
        <w:jc w:val="both"/>
      </w:pPr>
      <w:r>
        <w:rPr>
          <w:rFonts w:ascii="Times New Roman" w:hAnsi="Times New Roman" w:cs="Times New Roman"/>
          <w:b/>
          <w:sz w:val="24"/>
        </w:rPr>
        <w:t xml:space="preserve">1. </w:t>
      </w:r>
      <w:r>
        <w:rPr>
          <w:rFonts w:ascii="Times New Roman" w:hAnsi="Times New Roman" w:cs="Times New Roman"/>
          <w:lang w:val="tr-TR"/>
        </w:rPr>
        <w:t xml:space="preserve">P</w:t>
      </w:r>
      <w:r>
        <w:rPr>
          <w:rFonts w:ascii="Times New Roman" w:hAnsi="Times New Roman" w:cs="Times New Roman"/>
          <w:vertAlign w:val="subscript"/>
          <w:lang w:val="tr-TR"/>
        </w:rPr>
        <w:t xml:space="preserve">gelen</w:t>
      </w:r>
      <w:r>
        <w:rPr>
          <w:rFonts w:ascii="Times New Roman" w:hAnsi="Times New Roman" w:cs="Times New Roman"/>
          <w:lang w:val="tr-TR"/>
        </w:rPr>
        <w:t xml:space="preserve"> = 100 mW/cm² · 2,0 cm² = 200 mW. Siyah havuç: 0,40 · 3,00 = 1,20 mW → %0,60. Vişne: 0,35 · 2,00 = 0,70 mW → %0,35. Kırmızı soğan kabuğu: 0,40 · 1,25 = 0,50 mW → %0,25. Maydanoz: 0,25 · 0,80 = 0,20 mW → %0,10. Sıralama: siyah havuç &gt; vişne &gt; kırmızı soğan kabuğu &gt; maydanoz.</w:t>
      </w:r>
    </w:p>
    <w:p>
      <w:pPr>
        <w:jc w:val="both"/>
      </w:pPr>
      <w:r>
        <w:rPr>
          <w:rFonts w:ascii="Times New Roman" w:hAnsi="Times New Roman" w:cs="Times New Roman"/>
          <w:b/>
          <w:sz w:val="24"/>
        </w:rPr>
        <w:t xml:space="preserve">2. </w:t>
      </w:r>
      <w:r>
        <w:rPr>
          <w:rFonts w:ascii="Times New Roman" w:hAnsi="Times New Roman" w:cs="Times New Roman"/>
          <w:lang w:val="tr-TR"/>
        </w:rPr>
        <w:t xml:space="preserve">Doluluk faktörü = 1,20 mW / (0,50 V · 4,0 mA) = 1,20 / 2,0 = 0,60. Hücreden alınabilen en yüksek güç, açık devre gerilimi ile kısa devre akımının çarpımından küçüktür; doluluk faktörü 1’den uzaklaştıkça hücrenin iç kayıpları artar.</w:t>
      </w:r>
    </w:p>
    <w:p>
      <w:pPr>
        <w:jc w:val="both"/>
      </w:pPr>
      <w:r>
        <w:rPr>
          <w:rFonts w:ascii="Times New Roman" w:hAnsi="Times New Roman" w:cs="Times New Roman"/>
          <w:b/>
          <w:sz w:val="24"/>
        </w:rPr>
        <w:t xml:space="preserve">3. </w:t>
      </w:r>
      <w:r>
        <w:rPr>
          <w:rFonts w:ascii="Times New Roman" w:hAnsi="Times New Roman" w:cs="Times New Roman"/>
          <w:lang w:val="tr-TR"/>
        </w:rPr>
        <w:t xml:space="preserve">Antosiyaninlerin yapısındaki yan yana bulunan –OH grupları titanyum iyonlarına bağlanarak boyanın TiO</w:t>
      </w:r>
      <w:r>
        <w:rPr>
          <w:rFonts w:ascii="Times New Roman" w:hAnsi="Times New Roman" w:cs="Times New Roman"/>
          <w:vertAlign w:val="subscript"/>
          <w:lang w:val="tr-TR"/>
        </w:rPr>
        <w:t xml:space="preserve">2</w:t>
      </w:r>
      <w:r>
        <w:rPr>
          <w:rFonts w:ascii="Times New Roman" w:hAnsi="Times New Roman" w:cs="Times New Roman"/>
          <w:lang w:val="tr-TR"/>
        </w:rPr>
        <w:t xml:space="preserve"> yüzeyine sıkıca tutunmasını sağlar; uyarılmış boyadan TiO</w:t>
      </w:r>
      <w:r>
        <w:rPr>
          <w:rFonts w:ascii="Times New Roman" w:hAnsi="Times New Roman" w:cs="Times New Roman"/>
          <w:vertAlign w:val="subscript"/>
          <w:lang w:val="tr-TR"/>
        </w:rPr>
        <w:t xml:space="preserve">2</w:t>
      </w:r>
      <w:r>
        <w:rPr>
          <w:rFonts w:ascii="Times New Roman" w:hAnsi="Times New Roman" w:cs="Times New Roman"/>
          <w:lang w:val="tr-TR"/>
        </w:rPr>
        <w:t xml:space="preserve">’ye elektron geçişi kolaylaşır. Klorofilde bu tür bağlanma grupları bulunmadığı için elektron aktarımı zayıftır ve verim düşük kalır.</w:t>
      </w:r>
    </w:p>
    <w:p>
      <w:pPr>
        <w:jc w:val="both"/>
      </w:pPr>
      <w:r>
        <w:rPr>
          <w:rFonts w:ascii="Times New Roman" w:hAnsi="Times New Roman" w:cs="Times New Roman"/>
          <w:b/>
          <w:sz w:val="24"/>
        </w:rPr>
        <w:t xml:space="preserve">4. </w:t>
      </w:r>
      <w:r>
        <w:rPr>
          <w:rFonts w:ascii="Times New Roman" w:hAnsi="Times New Roman" w:cs="Times New Roman"/>
          <w:lang w:val="tr-TR"/>
        </w:rPr>
        <w:t xml:space="preserve">Işık şiddeti kontrol edilmemiştir; hücreye gelen ışığın gücü bilinmeden verim doğru hesaplanamaz ve diğer hücrelerle karşılaştırılamaz. Ölçüm aynı lamba altında, aynı uzaklıkta, 100 mW/cm² ışık gücünde (ışık sensörüyle doğrulanarak) yapılmalı; hücre yüzey alanı aynı olmalı, ölçümler en az üç kez tekrarlanıp ortalaması alınmalıdır.</w:t>
      </w:r>
    </w:p>
    <w:p>
      <w:pPr>
        <w:jc w:val="both"/>
      </w:pPr>
      <w:r>
        <w:rPr>
          <w:rFonts w:ascii="Times New Roman" w:hAnsi="Times New Roman" w:cs="Times New Roman"/>
          <w:b/>
          <w:sz w:val="24"/>
        </w:rPr>
        <w:t xml:space="preserve">5. </w:t>
      </w:r>
      <w:r>
        <w:rPr>
          <w:rFonts w:ascii="Times New Roman" w:hAnsi="Times New Roman" w:cs="Times New Roman"/>
          <w:lang w:val="tr-TR"/>
        </w:rPr>
        <w:t xml:space="preserve">B (Gümüş nanoparçacıklar belirli dalga boylarındaki ışıkla güçlü etkileşerek çevrelerindeki boya moleküllerinin daha fazla ışık soğurmasına yardımcı olur; kısa devre akımı ve verim artabilir.)</w:t>
      </w:r>
    </w:p>
    <w:p>
      <w:pPr>
        <w:jc w:val="both"/>
      </w:pPr>
      <w:r>
        <w:rPr>
          <w:rFonts w:ascii="Times New Roman" w:hAnsi="Times New Roman" w:cs="Times New Roman"/>
          <w:b/>
          <w:sz w:val="24"/>
        </w:rPr>
        <w:t xml:space="preserve">6. </w:t>
      </w:r>
      <w:r>
        <w:rPr>
          <w:rFonts w:ascii="Times New Roman" w:hAnsi="Times New Roman" w:cs="Times New Roman"/>
          <w:lang w:val="tr-TR"/>
        </w:rPr>
        <w:t xml:space="preserve">D, Y, D, Y, Y</w:t>
      </w:r>
    </w:p>
    <w:p>
      <w:pPr>
        <w:jc w:val="both"/>
      </w:pPr>
      <w:r>
        <w:rPr>
          <w:rFonts w:ascii="Times New Roman" w:hAnsi="Times New Roman" w:cs="Times New Roman"/>
          <w:b/>
          <w:sz w:val="24"/>
        </w:rPr>
        <w:t xml:space="preserve">7. </w:t>
      </w:r>
      <w:r>
        <w:rPr>
          <w:rFonts w:ascii="Times New Roman" w:hAnsi="Times New Roman" w:cs="Times New Roman"/>
          <w:lang w:val="tr-TR"/>
        </w:rPr>
        <w:t xml:space="preserve">B - II</w:t>
      </w:r>
    </w:p>
    <w:p>
      <w:pPr>
        <w:jc w:val="both"/>
      </w:pPr>
      <w:r>
        <w:rPr>
          <w:rFonts w:ascii="Times New Roman" w:hAnsi="Times New Roman" w:cs="Times New Roman"/>
          <w:b/>
          <w:sz w:val="24"/>
        </w:rPr>
        <w:t xml:space="preserve">8. </w:t>
      </w:r>
      <w:r>
        <w:rPr>
          <w:rFonts w:ascii="Times New Roman" w:hAnsi="Times New Roman" w:cs="Times New Roman"/>
          <w:lang w:val="tr-TR"/>
        </w:rPr>
        <w:t xml:space="preserve">1-a, 2-b, 3-c, 4-ç</w:t>
      </w:r>
    </w:p>
    <w:p>
      <w:pPr>
        <w:jc w:val="both"/>
      </w:pPr>
      <w:r>
        <w:rPr>
          <w:rFonts w:ascii="Times New Roman" w:hAnsi="Times New Roman" w:cs="Times New Roman"/>
          <w:b/>
          <w:sz w:val="24"/>
        </w:rPr>
        <w:t xml:space="preserve">9. </w:t>
      </w:r>
      <w:r>
        <w:rPr>
          <w:rFonts w:ascii="Times New Roman" w:hAnsi="Times New Roman" w:cs="Times New Roman"/>
          <w:lang w:val="tr-TR"/>
        </w:rPr>
        <w:t xml:space="preserve">1 cm² hücreden alınan güç = 0,25 mW/cm² · (12/100) = 0,030 mW/cm². Gerekli alan = 0,90 mW / 0,030 mW/cm² = 30 cm².</w:t>
      </w:r>
    </w:p>
    <w:p>
      <w:pPr>
        <w:jc w:val="both"/>
      </w:pPr>
      <w:r>
        <w:rPr>
          <w:rFonts w:ascii="Times New Roman" w:hAnsi="Times New Roman" w:cs="Times New Roman"/>
          <w:b/>
          <w:sz w:val="24"/>
        </w:rPr>
        <w:t xml:space="preserve">10. </w:t>
      </w:r>
      <w:r>
        <w:rPr>
          <w:rFonts w:ascii="Times New Roman" w:hAnsi="Times New Roman" w:cs="Times New Roman"/>
          <w:lang w:val="tr-TR"/>
        </w:rPr>
        <w:t xml:space="preserve">Örnek amaç: Mandalina atığından elde edilen pektinle, rulo hâlinde kırılmadan saklanabilen ve toprakta sulandığında kısa sürede dağılarak tohumların çimlenmesini engellemeyen bir tohum bandı elde etmek. Özellikler: esneklik (kırılmadan katlanabilme), suda kısa sürede dağılma, toprakta bozunabilme.</w:t>
      </w:r>
    </w:p>
    <w:p>
      <w:pPr>
        <w:jc w:val="both"/>
      </w:pPr>
      <w:r>
        <w:rPr>
          <w:rFonts w:ascii="Times New Roman" w:hAnsi="Times New Roman" w:cs="Times New Roman"/>
          <w:b/>
          <w:sz w:val="24"/>
        </w:rPr>
        <w:t xml:space="preserve">11. </w:t>
      </w:r>
      <w:r>
        <w:rPr>
          <w:rFonts w:ascii="Times New Roman" w:hAnsi="Times New Roman" w:cs="Times New Roman"/>
          <w:lang w:val="tr-TR"/>
        </w:rPr>
        <w:t xml:space="preserve">P1: (1,12 − 0,80)/0,80 · 100 = %40. P2: (2,10 − 1,20)/1,20 · 100 = %75. P3: (1,89 − 0,90)/0,90 · 100 = %110. P4: (2,40 − 1,50)/1,50 · 100 = %60. Gliserin miktarı arttıkça (P1 → P2 → P3) şişme yüzdesi artar.</w:t>
      </w:r>
    </w:p>
    <w:p>
      <w:pPr>
        <w:jc w:val="both"/>
      </w:pPr>
      <w:r>
        <w:rPr>
          <w:rFonts w:ascii="Times New Roman" w:hAnsi="Times New Roman" w:cs="Times New Roman"/>
          <w:b/>
          <w:sz w:val="24"/>
        </w:rPr>
        <w:t xml:space="preserve">12. </w:t>
      </w:r>
      <w:r>
        <w:rPr>
          <w:rFonts w:ascii="Times New Roman" w:hAnsi="Times New Roman" w:cs="Times New Roman"/>
          <w:lang w:val="tr-TR"/>
        </w:rPr>
        <w:t xml:space="preserve">P1 kırılgandır (2 katlanma), rulo yapılamaz ve suda çok geç dağılır; elenir. P4 dayanıklıdır ancak yaklaşık 32 saatte dağıldığı için tohum bandından çok fide kabı gibi dayanıklılık gereken ürünlere uygundur. P2 orta esnekliktedir, yaklaşık 20 saatte dağılır. P3 çok esnektir (20’den fazla katlanma), rulo hâlinde kırılmaz ve suda yaklaşık 6 saatte dağılarak tohumların çimlenmesini engellemez. Seçim: P3 (gerekçeli olarak P2’yi seçen cevaplar da kabul edilir).</w:t>
      </w:r>
    </w:p>
    <w:p>
      <w:pPr>
        <w:jc w:val="both"/>
      </w:pPr>
      <w:r>
        <w:rPr>
          <w:rFonts w:ascii="Times New Roman" w:hAnsi="Times New Roman" w:cs="Times New Roman"/>
          <w:b/>
          <w:sz w:val="24"/>
        </w:rPr>
        <w:t xml:space="preserve">13. </w:t>
      </w:r>
      <w:r>
        <w:rPr>
          <w:rFonts w:ascii="Times New Roman" w:hAnsi="Times New Roman" w:cs="Times New Roman"/>
          <w:lang w:val="tr-TR"/>
        </w:rPr>
        <w:t xml:space="preserve">C</w:t>
      </w:r>
    </w:p>
    <w:p>
      <w:pPr>
        <w:jc w:val="both"/>
      </w:pPr>
      <w:r>
        <w:rPr>
          <w:rFonts w:ascii="Times New Roman" w:hAnsi="Times New Roman" w:cs="Times New Roman"/>
          <w:b/>
          <w:sz w:val="24"/>
        </w:rPr>
        <w:t xml:space="preserve">14. </w:t>
      </w:r>
      <w:r>
        <w:rPr>
          <w:rFonts w:ascii="Times New Roman" w:hAnsi="Times New Roman" w:cs="Times New Roman"/>
          <w:lang w:val="tr-TR"/>
        </w:rPr>
        <w:t xml:space="preserve">Film esneklik ve suda hızlı dağılma amaçlarını karşılamış ancak saklama koşulunda yapışkan olduğu için amaca tam ulaşılamamıştır. Gliserinin fazlası filmi yapışkan ve suya karşı daha duyarlı hâle getirir. Gliserin miktarı azaltılarak (ör. 2-3 mL) ya da az miktarda kabuk tozu/kâğıt lifi eklenerek yapışkanlık azaltılabilir; yeni bileşim aynı testlerle denenip sonuçlar amaçla yeniden karşılaştırılmalıdır.</w:t>
      </w:r>
    </w:p>
    <w:p>
      <w:pPr>
        <w:jc w:val="both"/>
      </w:pPr>
      <w:r>
        <w:rPr>
          <w:rFonts w:ascii="Times New Roman" w:hAnsi="Times New Roman" w:cs="Times New Roman"/>
          <w:b/>
          <w:sz w:val="24"/>
        </w:rPr>
        <w:t xml:space="preserve">15. </w:t>
      </w:r>
      <w:r>
        <w:rPr>
          <w:rFonts w:ascii="Times New Roman" w:hAnsi="Times New Roman" w:cs="Times New Roman"/>
          <w:lang w:val="tr-TR"/>
        </w:rPr>
        <w:t xml:space="preserve">Kitosan: + / +. PHA: + / +. Şeker kamışı kaynaklı polietilen: + / −. Petrol kaynaklı polietilen: − / −. Petrol kaynaklı biyobozunur polyester: − / +.</w:t>
      </w:r>
    </w:p>
    <w:p>
      <w:pPr>
        <w:jc w:val="both"/>
      </w:pPr>
      <w:r>
        <w:rPr>
          <w:rFonts w:ascii="Times New Roman" w:hAnsi="Times New Roman" w:cs="Times New Roman"/>
          <w:b/>
          <w:sz w:val="24"/>
        </w:rPr>
        <w:t xml:space="preserve">16. </w:t>
      </w:r>
      <w:r>
        <w:rPr>
          <w:rFonts w:ascii="Times New Roman" w:hAnsi="Times New Roman" w:cs="Times New Roman"/>
          <w:lang w:val="tr-TR"/>
        </w:rPr>
        <w:t xml:space="preserve">B</w:t>
      </w:r>
    </w:p>
    <w:p>
      <w:pPr>
        <w:jc w:val="both"/>
      </w:pPr>
      <w:r>
        <w:rPr>
          <w:rFonts w:ascii="Times New Roman" w:hAnsi="Times New Roman" w:cs="Times New Roman"/>
          <w:b/>
          <w:sz w:val="24"/>
        </w:rPr>
        <w:t xml:space="preserve">17. </w:t>
      </w:r>
      <w:r>
        <w:rPr>
          <w:rFonts w:ascii="Times New Roman" w:hAnsi="Times New Roman" w:cs="Times New Roman"/>
          <w:lang w:val="tr-TR"/>
        </w:rPr>
        <w:t xml:space="preserve">a) Kompost: (5,00 − 0,50)/5,00 · 100 = %90. Toprak: (5,00 − 4,60)/5,00 · 100 = %8. Deniz suyu: (5,00 − 4,85)/5,00 · 100 = %3.  b) İfade yanıltıcıdır. PLA yalnızca sıcaklığı ve nemi yüksek endüstriyel kompost ortamında kısa sürede bozunmuş; toprakta ve deniz suyunda 8 haftada çok az kütle kaybetmiştir. Biyobozunurluk, hangi koşulda ve ne kadar sürede bozunduğu bilgisiyle birlikte verilmelidir.  c) Örnek: “Endüstriyel kompost tesislerinde bozunur; doğaya atmayınız, kompost atıklarıyla ayrı toplayınız.”</w:t>
      </w:r>
    </w:p>
    <w:p>
      <w:pPr>
        <w:jc w:val="both"/>
      </w:pPr>
      <w:r>
        <w:rPr>
          <w:rFonts w:ascii="Times New Roman" w:hAnsi="Times New Roman" w:cs="Times New Roman"/>
          <w:b/>
          <w:sz w:val="24"/>
        </w:rPr>
        <w:t xml:space="preserve">18. </w:t>
      </w:r>
      <w:r>
        <w:rPr>
          <w:rFonts w:ascii="Times New Roman" w:hAnsi="Times New Roman" w:cs="Times New Roman"/>
          <w:lang w:val="tr-TR"/>
        </w:rPr>
        <w:t xml:space="preserve">Ameliyat ipliğinin görevi yara iyileşene kadar sürer; PGA bu sürede vücutta parçalandığı için dikişlerin alınması gerekmez ve ikinci bir müdahale önlenir. Protezin ise yıllarca işlev görmesi gerekir; bozunan bir polimer protezin dayanımını kaybetmesine yol açar. Bu nedenle uzun süreli kullanımda vücutla uyumlu ve vücut sıvılarına dayanıklı polimerler seçilir.</w:t>
      </w:r>
    </w:p>
    <w:p>
      <w:pPr>
        <w:jc w:val="both"/>
      </w:pPr>
      <w:r>
        <w:rPr>
          <w:rFonts w:ascii="Times New Roman" w:hAnsi="Times New Roman" w:cs="Times New Roman"/>
          <w:b/>
          <w:sz w:val="24"/>
        </w:rPr>
        <w:t xml:space="preserve">19. </w:t>
      </w:r>
      <w:r>
        <w:rPr>
          <w:rFonts w:ascii="Times New Roman" w:hAnsi="Times New Roman" w:cs="Times New Roman"/>
          <w:lang w:val="tr-TR"/>
        </w:rPr>
        <w:t xml:space="preserve">1-b, 2-a, 3-ç, 4-c</w:t>
      </w:r>
    </w:p>
    <w:p>
      <w:pPr>
        <w:jc w:val="both"/>
      </w:pPr>
      <w:r>
        <w:rPr>
          <w:rFonts w:ascii="Times New Roman" w:hAnsi="Times New Roman" w:cs="Times New Roman"/>
          <w:b/>
          <w:sz w:val="24"/>
        </w:rPr>
        <w:t xml:space="preserve">20. </w:t>
      </w:r>
      <w:r>
        <w:rPr>
          <w:rFonts w:ascii="Times New Roman" w:hAnsi="Times New Roman" w:cs="Times New Roman"/>
          <w:lang w:val="tr-TR"/>
        </w:rPr>
        <w:t xml:space="preserve">Salma sulamaya göre: (800 − 360)/800 · 100 = %55. Damla sulamaya göre: (450 − 360)/450 · 100 = %20. Ürün/su: salma 6000/800 = 7,5 kg/m³; damla 6500/450 ≈ 14,4 kg/m³; yapay zekâ destekli 6600/360 ≈ 18,3 kg/m³.</w:t>
      </w:r>
    </w:p>
    <w:p>
      <w:pPr>
        <w:jc w:val="both"/>
      </w:pPr>
      <w:r>
        <w:rPr>
          <w:rFonts w:ascii="Times New Roman" w:hAnsi="Times New Roman" w:cs="Times New Roman"/>
          <w:b/>
          <w:sz w:val="24"/>
        </w:rPr>
        <w:t xml:space="preserve">21. </w:t>
      </w:r>
      <w:r>
        <w:rPr>
          <w:rFonts w:ascii="Times New Roman" w:hAnsi="Times New Roman" w:cs="Times New Roman"/>
          <w:lang w:val="tr-TR"/>
        </w:rPr>
        <w:t xml:space="preserve">Su tasarrufunun büyük kısmı damla sulamaya geçişten (800 → 450 m³) kaynaklanmaktadır; yapay zekâ destekli plan ek olarak %20 tasarruf sağlamıştır. Veriler tek bir kooperatifin tarlalarına aittir ve ovanın bütününü, yer altı suyu seviyesini göstermez. Ayrıca tasarruf edilen su yeni alanların sulanmasında kullanılırsa toplam su tüketimi azalmayabilir. Daha doğru ifade: “Yapay zekâ destekli sulama planı, kooperatifin tarlalarında damla sulamaya göre yaklaşık %20 daha az su kullanılarak aynı ya da biraz daha fazla ürün alınmasını sağlamıştır.”</w:t>
      </w:r>
    </w:p>
    <w:p>
      <w:pPr>
        <w:jc w:val="both"/>
      </w:pPr>
      <w:r>
        <w:rPr>
          <w:rFonts w:ascii="Times New Roman" w:hAnsi="Times New Roman" w:cs="Times New Roman"/>
          <w:b/>
          <w:sz w:val="24"/>
        </w:rPr>
        <w:t xml:space="preserve">22. </w:t>
      </w:r>
      <w:r>
        <w:rPr>
          <w:rFonts w:ascii="Times New Roman" w:hAnsi="Times New Roman" w:cs="Times New Roman"/>
          <w:lang w:val="tr-TR"/>
        </w:rPr>
        <w:t xml:space="preserve">C</w:t>
      </w:r>
    </w:p>
    <w:p>
      <w:pPr>
        <w:jc w:val="both"/>
      </w:pPr>
      <w:r>
        <w:rPr>
          <w:rFonts w:ascii="Times New Roman" w:hAnsi="Times New Roman" w:cs="Times New Roman"/>
          <w:b/>
          <w:sz w:val="24"/>
        </w:rPr>
        <w:t xml:space="preserve">23. </w:t>
      </w:r>
      <w:r>
        <w:rPr>
          <w:rFonts w:ascii="Times New Roman" w:hAnsi="Times New Roman" w:cs="Times New Roman"/>
          <w:lang w:val="tr-TR"/>
        </w:rPr>
        <w:t xml:space="preserve">Örnek: Sistem toprak ve bitki verilerinden hangi bölgeye ne kadar gübre gerektiğini belirlediği için gübre yalnızca gerektiği yerde ve gerektiği kadar kullanılır. Eğer fazla gübre kullanılmazsa, o hâlde akarsulara ve yer altı sularına taşınan gübre miktarı azalır; bu da temiz su ve sudaki yaşam amaçlarına katkı sağlar, çiftçinin gübre maliyetini de düşürür.</w:t>
      </w:r>
    </w:p>
    <w:p>
      <w:pPr>
        <w:jc w:val="both"/>
      </w:pPr>
      <w:r>
        <w:rPr>
          <w:rFonts w:ascii="Times New Roman" w:hAnsi="Times New Roman" w:cs="Times New Roman"/>
          <w:b/>
          <w:sz w:val="24"/>
        </w:rPr>
        <w:t xml:space="preserve">24. </w:t>
      </w:r>
      <w:r>
        <w:rPr>
          <w:rFonts w:ascii="Times New Roman" w:hAnsi="Times New Roman" w:cs="Times New Roman"/>
          <w:lang w:val="tr-TR"/>
        </w:rPr>
        <w:t xml:space="preserve">Endişe haklıdır; veriler kişisel ve ticari bilgiler içerir, izinsiz toplanması ya da başka amaçla kullanılması mahremiyeti tehdit eder. Örnek kurallar: Veriler yalnızca sulama planlaması için kullanılmalı ve çiftçinin izni olmadan üçüncü kişilerle paylaşılmamalı; çiftçi kendi verilerine erişebilmeli ve istediğinde silinmesini talep edebilmeli; verilerin nerede ve ne kadar süre saklanacağı açıkça belirtilmeli.</w:t>
      </w:r>
    </w:p>
    <w:p>
      <w:pPr>
        <w:jc w:val="both"/>
      </w:pPr>
      <w:r>
        <w:rPr>
          <w:rFonts w:ascii="Times New Roman" w:hAnsi="Times New Roman" w:cs="Times New Roman"/>
          <w:b/>
          <w:sz w:val="24"/>
        </w:rPr>
        <w:t xml:space="preserve">25. </w:t>
      </w:r>
      <w:r>
        <w:rPr>
          <w:rFonts w:ascii="Times New Roman" w:hAnsi="Times New Roman" w:cs="Times New Roman"/>
          <w:lang w:val="tr-TR"/>
        </w:rPr>
        <w:t xml:space="preserve">Başlık abartılıdır ve verilere dayanmamaktadır. Veri merkezlerinin tamamı 2024’te dünya elektriğinin yaklaşık %1,5’ini tüketmiştir; bu tüketimin yalnızca bir kısmı yapay zekâya aittir. 2030 öngörüsü de tüketimin iki katından fazla artacağını gösterir ancak “yarısı” düzeyine işaret etmez. Haberde kaynak belirtilmemesi güvenilirliğini azaltır. Bununla birlikte tüketimin hızla arttığı ve izlenmesi gerektiği doğrudur.</w:t>
      </w:r>
    </w:p>
    <w:p>
      <w:pPr>
        <w:jc w:val="both"/>
      </w:pPr>
      <w:r>
        <w:rPr>
          <w:rFonts w:ascii="Times New Roman" w:hAnsi="Times New Roman" w:cs="Times New Roman"/>
          <w:b/>
          <w:sz w:val="24"/>
        </w:rPr>
        <w:t xml:space="preserve">26. </w:t>
      </w:r>
      <w:r>
        <w:rPr>
          <w:rFonts w:ascii="Times New Roman" w:hAnsi="Times New Roman" w:cs="Times New Roman"/>
          <w:lang w:val="tr-TR"/>
        </w:rPr>
        <w:t xml:space="preserve">Toplam artış = 945 − 415 = 530 TWh; yıllık ortalama artış = 530/6 ≈ 88 TWh/yıl. Sınırlılık: 945 TWh bir senaryo öngörüsüdür, kesin bir ölçüm değildir; artış her yıl eşit olmayabilir, teknolojideki verimlilik gelişmeleri ve kullanım alışkanlıkları sonucu değiştirebilir.</w:t>
      </w:r>
    </w:p>
    <w:p>
      <w:pPr>
        <w:jc w:val="both"/>
      </w:pPr>
      <w:r>
        <w:rPr>
          <w:rFonts w:ascii="Times New Roman" w:hAnsi="Times New Roman" w:cs="Times New Roman"/>
          <w:b/>
          <w:sz w:val="24"/>
        </w:rPr>
        <w:t xml:space="preserve">27. </w:t>
      </w:r>
      <w:r>
        <w:rPr>
          <w:rFonts w:ascii="Times New Roman" w:hAnsi="Times New Roman" w:cs="Times New Roman"/>
          <w:lang w:val="tr-TR"/>
        </w:rPr>
        <w:t xml:space="preserve">1. Kanıta dayanıyor. 2. Kanıta dayanmıyor (veri merkezleri başka bilgi işlem hizmetleri için de çalışır). 3. Kanıta dayanmıyor (su miktarı bölgenin iklimine ve soğutma teknolojisine göre büyük farklılık gösterir). 4. Kanıta dayanıyor.</w:t>
      </w:r>
    </w:p>
    <w:p>
      <w:pPr>
        <w:jc w:val="both"/>
      </w:pPr>
      <w:r>
        <w:rPr>
          <w:rFonts w:ascii="Times New Roman" w:hAnsi="Times New Roman" w:cs="Times New Roman"/>
          <w:b/>
          <w:sz w:val="24"/>
        </w:rPr>
        <w:t xml:space="preserve">28. </w:t>
      </w:r>
      <w:r>
        <w:rPr>
          <w:rFonts w:ascii="Times New Roman" w:hAnsi="Times New Roman" w:cs="Times New Roman"/>
          <w:lang w:val="tr-TR"/>
        </w:rPr>
        <w:t xml:space="preserve">C</w:t>
      </w:r>
    </w:p>
    <w:p>
      <w:pPr>
        <w:jc w:val="both"/>
      </w:pPr>
      <w:r>
        <w:rPr>
          <w:rFonts w:ascii="Times New Roman" w:hAnsi="Times New Roman" w:cs="Times New Roman"/>
          <w:b/>
          <w:sz w:val="24"/>
        </w:rPr>
        <w:t xml:space="preserve">29. </w:t>
      </w:r>
      <w:r>
        <w:rPr>
          <w:rFonts w:ascii="Times New Roman" w:hAnsi="Times New Roman" w:cs="Times New Roman"/>
          <w:lang w:val="tr-TR"/>
        </w:rPr>
        <w:t xml:space="preserve">Öğrenci özgün metnini oluşturur. Değerlendirmede arkadaşın endişesinin anlaşılıp saygıyla karşılanması; veri merkezlerinin enerji, su ve donanım tüketiminin (IEA verileri) kabul edilmesi; akıllı sulama, enerji verimliliği, atık azaltma, yeşil kimyada daha az deneme gibi katkılarla dengelenmesi; etkinin kullanım amacına, kazanımın tüketilen kaynaklara oranına ve enerjinin kaynağına bağlı olduğu sonucuna ulaşılması aranır.</w:t>
      </w:r>
    </w:p>
    <w:p>
      <w:pPr>
        <w:jc w:val="both"/>
      </w:pPr>
      <w:r>
        <w:rPr>
          <w:rFonts w:ascii="Times New Roman" w:hAnsi="Times New Roman" w:cs="Times New Roman"/>
          <w:b/>
          <w:sz w:val="24"/>
        </w:rPr>
        <w:t xml:space="preserve">30. </w:t>
      </w:r>
      <w:r>
        <w:rPr>
          <w:rFonts w:ascii="Times New Roman" w:hAnsi="Times New Roman" w:cs="Times New Roman"/>
          <w:lang w:val="tr-TR"/>
        </w:rPr>
        <w:t xml:space="preserve">1-b, 2-c, 3-ç, 4-a</w:t>
      </w:r>
    </w:p>
    <w:p>
      <w:pPr>
        <w:jc w:val="both"/>
      </w:pPr>
      <w:r>
        <w:rPr>
          <w:rFonts w:ascii="Times New Roman" w:hAnsi="Times New Roman" w:cs="Times New Roman"/>
          <w:b/>
          <w:sz w:val="24"/>
        </w:rPr>
        <w:t xml:space="preserve">31. </w:t>
      </w:r>
      <w:r>
        <w:rPr>
          <w:rFonts w:ascii="Times New Roman" w:hAnsi="Times New Roman" w:cs="Times New Roman"/>
          <w:lang w:val="tr-TR"/>
        </w:rPr>
        <w:t xml:space="preserve">B - II</w:t>
      </w:r>
    </w:p>
    <w:p>
      <w:pPr>
        <w:jc w:val="both"/>
      </w:pPr>
      <w:r>
        <w:rPr>
          <w:rFonts w:ascii="Times New Roman" w:hAnsi="Times New Roman" w:cs="Times New Roman"/>
          <w:b/>
          <w:sz w:val="24"/>
        </w:rPr>
        <w:t xml:space="preserve">32. </w:t>
      </w:r>
      <w:r>
        <w:rPr>
          <w:rFonts w:ascii="Times New Roman" w:hAnsi="Times New Roman" w:cs="Times New Roman"/>
          <w:lang w:val="tr-TR"/>
        </w:rPr>
        <w:t xml:space="preserve">Gelen ışığın gücü = 200 W/m² · 6,0 m² = 1200 W. Elde edilen elektrik gücü = 1200 · (8/100) = 96 W &gt; 60 W; paneller ihtiyacı karşılar. En küçük alan = 60 W / (200 W/m² · 0,08) = 3,75 m².</w:t>
      </w:r>
    </w:p>
    <w:p>
      <w:pPr>
        <w:jc w:val="both"/>
      </w:pPr>
      <w:r>
        <w:rPr>
          <w:rFonts w:ascii="Times New Roman" w:hAnsi="Times New Roman" w:cs="Times New Roman"/>
          <w:b/>
          <w:sz w:val="24"/>
        </w:rPr>
        <w:t xml:space="preserve">33. </w:t>
      </w:r>
      <w:r>
        <w:rPr>
          <w:rFonts w:ascii="Times New Roman" w:hAnsi="Times New Roman" w:cs="Times New Roman"/>
          <w:lang w:val="tr-TR"/>
        </w:rPr>
        <w:t xml:space="preserve">Güçlü güneş ışığında silisyumun verimi yüksektir; ancak gölgeli duraklarda ışık dağınık ve düşüktür, boyaya duyarlı paneller düşük ışıkta verimini büyük ölçüde korur ve geliş açısından az etkilenir. Üretimleri 1400 °C yerine 450-500 °C’de, basit yöntemlerle yapıldığı için daha az enerji gerektirir (enerji verimliliği için tasarım). Renkli ve yarı saydam oldukları için durağın gölgelik işlevine ve görünümüne uygundur. Sınırlılık: sıvı elektrolitin buharlaşması ya da sızması ömrü kısaltır; rutenyum ve platin nadir ve pahalıdır. Öneri: katı ya da jel elektrolit, rutenyum içermeyen organik boyalar, platin yerine karbon temelli karşı elektrot kullanılması.</w:t>
      </w:r>
    </w:p>
    <w:p>
      <w:pPr>
        <w:jc w:val="both"/>
      </w:pPr>
      <w:r>
        <w:rPr>
          <w:rFonts w:ascii="Times New Roman" w:hAnsi="Times New Roman" w:cs="Times New Roman"/>
          <w:b/>
          <w:sz w:val="24"/>
        </w:rPr>
        <w:t xml:space="preserve">34. </w:t>
      </w:r>
      <w:r>
        <w:rPr>
          <w:rFonts w:ascii="Times New Roman" w:hAnsi="Times New Roman" w:cs="Times New Roman"/>
          <w:lang w:val="tr-TR"/>
        </w:rPr>
        <w:t xml:space="preserve">Beklenen yarar tam olarak sağlanmaz. Kompostlanabilir poşetler (ör. PLA) sıcaklığı ve nemi yüksek, oksijenli endüstriyel kompost ortamında hızla bozunur; depolama alanında yavaş bozunur ve oksijensiz ortamda bozunurken sera gazı olan metan oluşabilir. Poşetler ve organik atıklar ayrı toplanarak endüstriyel kompost tesisine gönderilmeli, oluşan kompost tarımda kullanılmalıdır.</w:t>
      </w:r>
    </w:p>
    <w:p>
      <w:pPr>
        <w:jc w:val="both"/>
      </w:pPr>
      <w:r>
        <w:rPr>
          <w:rFonts w:ascii="Times New Roman" w:hAnsi="Times New Roman" w:cs="Times New Roman"/>
          <w:b/>
          <w:sz w:val="24"/>
        </w:rPr>
        <w:t xml:space="preserve">35. </w:t>
      </w:r>
      <w:r>
        <w:rPr>
          <w:rFonts w:ascii="Times New Roman" w:hAnsi="Times New Roman" w:cs="Times New Roman"/>
          <w:lang w:val="tr-TR"/>
        </w:rPr>
        <w:t xml:space="preserve">Katkı: Boş ya da az yolculu seferlerin azalması ve yoğun saatlere göre planlama yapılmasıyla yakıt tüketiminin ve egzoz emisyonlarının azalması; toplu taşımanın daha çekici hâle gelmesi. Riskler: yolcu kartı verilerindeki konum ve yolculuk bilgilerinin mahremiyeti; eksik ya da dengesiz verilerle bazı mahallelerin daha az hizmet alması; programın çalıştığı sunucuların enerji ve donanım ihtiyacı.</w:t>
      </w:r>
    </w:p>
    <w:p>
      <w:pPr>
        <w:jc w:val="both"/>
      </w:pPr>
      <w:r>
        <w:rPr>
          <w:rFonts w:ascii="Times New Roman" w:hAnsi="Times New Roman" w:cs="Times New Roman"/>
          <w:b/>
          <w:sz w:val="24"/>
        </w:rPr>
        <w:t xml:space="preserve">36. </w:t>
      </w:r>
      <w:r>
        <w:rPr>
          <w:rFonts w:ascii="Times New Roman" w:hAnsi="Times New Roman" w:cs="Times New Roman"/>
          <w:lang w:val="tr-TR"/>
        </w:rPr>
        <w:t xml:space="preserve">Öğrenci özgün kararını oluşturur. Örnek: II. seçenek tercih edilebilir; çünkü kompost tesisi olmadan kompostlanabilir poşetlerden beklenen yarar sağlanamaz, organik atıklar da değerlendirilerek depolama alanına giden atık ve metan oluşumu azalır. Değerlendirmede tüm ölçütlerin dikkate alınması, seçeneklerin üstünlük ve sınırlılıklarının karşılaştırılması ve kararın kanıtlarla tutarlı biçimde gerekçelendirilmesi aranır.</w:t>
      </w:r>
    </w:p>
    <w:p>
      <w:pPr>
        <w:jc w:val="both"/>
      </w:pPr>
      <w:r>
        <w:rPr>
          <w:rFonts w:ascii="Times New Roman" w:hAnsi="Times New Roman" w:cs="Times New Roman"/>
          <w:b/>
          <w:sz w:val="24"/>
        </w:rPr>
        <w:t xml:space="preserve">37. </w:t>
      </w:r>
      <w:r>
        <w:rPr>
          <w:rFonts w:ascii="Times New Roman" w:hAnsi="Times New Roman" w:cs="Times New Roman"/>
          <w:lang w:val="tr-TR"/>
        </w:rPr>
        <w:t xml:space="preserve">a) plastikleştirici  b) biyobozunur polimer  c) doluluk faktörü  ç) nanopolimer  d) makine öğrenmesi (fazla kavram: biyopolimer)</w:t>
      </w:r>
    </w:p>
    <w:p>
      <w:pPr>
        <w:jc w:val="both"/>
      </w:pPr>
      <w:r>
        <w:rPr>
          <w:rFonts w:ascii="Times New Roman" w:hAnsi="Times New Roman" w:cs="Times New Roman"/>
          <w:b/>
          <w:sz w:val="24"/>
        </w:rPr>
        <w:t xml:space="preserve">38. </w:t>
      </w:r>
      <w:r>
        <w:rPr>
          <w:rFonts w:ascii="Times New Roman" w:hAnsi="Times New Roman" w:cs="Times New Roman"/>
          <w:lang w:val="tr-TR"/>
        </w:rPr>
        <w:t xml:space="preserve">Örnek hipotez: Boya çözeltisine eklenen gümüş nanoparçacık miktarı belirli bir değere kadar arttıkça hücrenin verimi artar. Bağımsız: eklenen gümüş nanoparçacık miktarı (ör. 0, 1, 2, 4 mL). Bağımlı: hücrenin verimi (en yüksek güç). Kontrol: boya türü ve miktarı, TiO</w:t>
      </w:r>
      <w:r>
        <w:rPr>
          <w:rFonts w:ascii="Times New Roman" w:hAnsi="Times New Roman" w:cs="Times New Roman"/>
          <w:vertAlign w:val="subscript"/>
          <w:lang w:val="tr-TR"/>
        </w:rPr>
        <w:t xml:space="preserve">2</w:t>
      </w:r>
      <w:r>
        <w:rPr>
          <w:rFonts w:ascii="Times New Roman" w:hAnsi="Times New Roman" w:cs="Times New Roman"/>
          <w:lang w:val="tr-TR"/>
        </w:rPr>
        <w:t xml:space="preserve"> katmanı, bekletme süresi, elektrolit, hücre alanı, ışık gücü ve uzaklığı, sıcaklık. Aynı yöntemle hazırlanan hücrelerin en yüksek güç noktasındaki gerilim ve akımı multimetreyle ölçülür, verim hesaplanır; nanoparçacık eklenmemiş hücre kontrol grubu olarak kullanılır ve her ölçüm en az üç kez tekrarlanır.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