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 ID: 2689872167 (fotoğraf) — Snowflake macro, water crystals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5172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15172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 ID: 2074189445 (vektör) — Allotropes of carbon infographic diagram (yazılar Türkçeye çevrilecek)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kesici aletler (maket bıçağı) ve mikroskop lamları dikkatli kullanılmalı, kırılan cam parçaları uygun şekilde toplanmalıdır.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kâğıt üzerine yumuşak bir kurşun kalemle (6B ya da 8B)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 Boyalı alana yaklaşık 10 cm uzunluğunda şeffaf bir yapışkan bant yapıştırıp bastırınız ve bandı yavaşça kaldırınız. Bant üzerine ince bir grafit tabakası geçecektir.</w:t>
            </w:r>
          </w:p>
          <w:p>
            <w:pPr>
              <w:jc w:val="both"/>
              <w:rPr>
                <w:rFonts w:ascii="Times New Roman" w:hAnsi="Times New Roman" w:cs="Times New Roman"/>
                <w:lang w:val="tr-TR"/>
              </w:rPr>
            </w:pPr>
            <w:r>
              <w:rPr>
                <w:rFonts w:ascii="Times New Roman" w:hAnsi="Times New Roman" w:cs="Times New Roman"/>
                <w:lang w:val="tr-TR"/>
              </w:rPr>
              <w:t xml:space="preserve">• Bandın yapışkan yüzünü kendi üzerine katlayıp açarak işlemi 8-10 kez tekrarlayınız. Her tekrarda grafit katmanları ikiye ayrılarak incelir.</w:t>
            </w:r>
          </w:p>
          <w:p>
            <w:pPr>
              <w:jc w:val="both"/>
              <w:rPr>
                <w:rFonts w:ascii="Times New Roman" w:hAnsi="Times New Roman" w:cs="Times New Roman"/>
                <w:lang w:val="tr-TR"/>
              </w:rPr>
            </w:pPr>
            <w:r>
              <w:rPr>
                <w:rFonts w:ascii="Times New Roman" w:hAnsi="Times New Roman" w:cs="Times New Roman"/>
                <w:lang w:val="tr-TR"/>
              </w:rPr>
              <w:t xml:space="preserve">•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 Kurşun kalemle boyadığınız alanın ve bant üzerindeki tabakanın uçlarına bir pil-LED devresinin uçlarını dokundurarak iletkenliği gözlemleyiniz.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85253"/>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760000" cy="12852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B: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