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p>
      <w:pPr>
        <w:jc w:val="center"/>
      </w:pPr>
      <w:r>
        <w:drawing>
          <wp:inline xmlns:a="http://schemas.openxmlformats.org/drawingml/2006/main" xmlns:pic="http://schemas.openxmlformats.org/drawingml/2006/picture">
            <wp:extent cx="4692251" cy="4319999"/>
            <wp:docPr id="900014" name="Picture 900014"/>
            <wp:cNvGraphicFramePr>
              <a:graphicFrameLocks noChangeAspect="1"/>
            </wp:cNvGraphicFramePr>
            <a:graphic>
              <a:graphicData uri="http://schemas.openxmlformats.org/drawingml/2006/picture">
                <pic:pic>
                  <pic:nvPicPr>
                    <pic:cNvPr id="0" name="2725586199_d.jpg"/>
                    <pic:cNvPicPr/>
                  </pic:nvPicPr>
                  <pic:blipFill>
                    <a:blip r:embed="rId11"/>
                    <a:stretch>
                      <a:fillRect/>
                    </a:stretch>
                  </pic:blipFill>
                  <pic:spPr>
                    <a:xfrm>
                      <a:off x="0" y="0"/>
                      <a:ext cx="4692251" cy="43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2725586199 (bölüm kapağı, tam sayfa)</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p>
      <w:pPr>
        <w:jc w:val="center"/>
      </w:pPr>
      <w:r>
        <w:drawing>
          <wp:inline xmlns:a="http://schemas.openxmlformats.org/drawingml/2006/main" xmlns:pic="http://schemas.openxmlformats.org/drawingml/2006/picture">
            <wp:extent cx="5289795" cy="4319999"/>
            <wp:docPr id="900015" name="Picture 900015"/>
            <wp:cNvGraphicFramePr>
              <a:graphicFrameLocks noChangeAspect="1"/>
            </wp:cNvGraphicFramePr>
            <a:graphic>
              <a:graphicData uri="http://schemas.openxmlformats.org/drawingml/2006/picture">
                <pic:pic>
                  <pic:nvPicPr>
                    <pic:cNvPr id="0" name="2842308781_d.jpg"/>
                    <pic:cNvPicPr/>
                  </pic:nvPicPr>
                  <pic:blipFill>
                    <a:blip r:embed="rId12"/>
                    <a:stretch>
                      <a:fillRect/>
                    </a:stretch>
                  </pic:blipFill>
                  <pic:spPr>
                    <a:xfrm>
                      <a:off x="0" y="0"/>
                      <a:ext cx="5289795" cy="43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2842308781 (bölüm kapağı, tam sayfa)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p>
      <w:pPr>
        <w:jc w:val="center"/>
      </w:pPr>
      <w:r>
        <w:drawing>
          <wp:inline xmlns:a="http://schemas.openxmlformats.org/drawingml/2006/main" xmlns:pic="http://schemas.openxmlformats.org/drawingml/2006/picture">
            <wp:extent cx="1570275" cy="2520000"/>
            <wp:docPr id="900016" name="Picture 900016"/>
            <wp:cNvGraphicFramePr>
              <a:graphicFrameLocks noChangeAspect="1"/>
            </wp:cNvGraphicFramePr>
            <a:graphic>
              <a:graphicData uri="http://schemas.openxmlformats.org/drawingml/2006/picture">
                <pic:pic>
                  <pic:nvPicPr>
                    <pic:cNvPr id="0" name="2689278777_d.jpg"/>
                    <pic:cNvPicPr/>
                  </pic:nvPicPr>
                  <pic:blipFill>
                    <a:blip r:embed="rId13"/>
                    <a:stretch>
                      <a:fillRect/>
                    </a:stretch>
                  </pic:blipFill>
                  <pic:spPr>
                    <a:xfrm>
                      <a:off x="0" y="0"/>
                      <a:ext cx="1570275"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2689278777</w:t>
      </w: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Bu soruların cevabını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p>
      <w:pPr>
        <w:jc w:val="center"/>
      </w:pPr>
      <w:r>
        <w:drawing>
          <wp:inline xmlns:a="http://schemas.openxmlformats.org/drawingml/2006/main" xmlns:pic="http://schemas.openxmlformats.org/drawingml/2006/picture">
            <wp:extent cx="4195338" cy="2520000"/>
            <wp:docPr id="900017" name="Picture 900017"/>
            <wp:cNvGraphicFramePr>
              <a:graphicFrameLocks noChangeAspect="1"/>
            </wp:cNvGraphicFramePr>
            <a:graphic>
              <a:graphicData uri="http://schemas.openxmlformats.org/drawingml/2006/picture">
                <pic:pic>
                  <pic:nvPicPr>
                    <pic:cNvPr id="0" name="2745706979_d.jpg"/>
                    <pic:cNvPicPr/>
                  </pic:nvPicPr>
                  <pic:blipFill>
                    <a:blip r:embed="rId14"/>
                    <a:stretch>
                      <a:fillRect/>
                    </a:stretch>
                  </pic:blipFill>
                  <pic:spPr>
                    <a:xfrm>
                      <a:off x="0" y="0"/>
                      <a:ext cx="4195338"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2745706979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cephe/hücre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MASKE KULLAN, TAHRİŞ EDİCİ MADDE, SICAK CİSİM UYARISI, KIRILABİLİR CAM UYARISI. Ek uyarılar: Titanyum dioksit tozu solunmamalı, toz hâlindeki madde ile çalışırken maske kullanılmalıdır. İyot ve iyot çözeltileri cildi lekeler ve tahriş edebilir; eldivenle çalışılmalıdır. Titanyum dioksit katmanının ısıl işlemi yalnızca öğretmen tarafından, ısıya dayanıklı maşa ile yapılmalı; sıcak cam plakalara dokunulmamalıdır.</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 Deney basamaklarını takip ederek hücrenizi hazırlayınız ve ölçümlerinizi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iletken kaplamalı iki cam plaka, titanyum dioksit macunu, seçtiğiniz boya çözeltisi, saf su, etil alkol, kurşun kalem ya da mum, kıskaç, iyot/iyodür elektroliti, multimetre, güçlü bir lamba, ışık sensörü uygulaması yüklü akıllı telefon.</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2.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3. Soğuyan plakayı seçtiğiniz boya çözeltisine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4.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5.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6.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7. İsteğe bağlı: Daha önceki kimya derslerinizde yeşil kimya yöntemleriyle elde ettiğiniz gümüş nanoparçacıkları boya çözeltisine ekleyerek aynı ölçümleri tekrarlayınız.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5306" cy="3066294"/>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35306" cy="30662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980441" cy="2956565"/>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980441" cy="295656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