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ve yaklaşık 4500 yıllık olduğu düşünülen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Müze vitrininde sergilenen, Tunç Çağı’na ait parlak altın kap ve süs eşyaları (müze etiketleri ve logolar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“ancient gold artifacts museum anatolia bronze age”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 yana duran yüzeyi paslanmış galvanizli demir boru parçası ile parlak bakır su boruları.</w:t>
            </w:r>
          </w:p>
          <w:p>
            <w:pPr>
              <w:jc w:val="both"/>
              <w:rPr>
                <w:rFonts w:ascii="Times New Roman" w:hAnsi="Times New Roman" w:cs="Times New Roman"/>
                <w:lang w:val="tr-TR"/>
              </w:rPr>
            </w:pPr>
            <w:r>
              <w:rPr>
                <w:rFonts w:ascii="Times New Roman" w:hAnsi="Times New Roman" w:cs="Times New Roman"/>
                <w:lang w:val="tr-TR"/>
              </w:rPr>
              <w:t xml:space="preserve">Shutterstock arama: “rusty galvanized pipe copper pipes”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etiketli küçük şişelerde renkli ve renksiz metal tuzu çözeltileri (mavi bakır(II) nitrat, açık yeşil demir(II) sülfat, renksiz çinko nitrat ve kurşun(II) nitrat) ile önlerinde petri kaplarında bakır, çinko, demir ve kurşun parçaları.</w:t>
            </w:r>
          </w:p>
          <w:p>
            <w:pPr>
              <w:jc w:val="both"/>
              <w:rPr>
                <w:rFonts w:ascii="Times New Roman" w:hAnsi="Times New Roman" w:cs="Times New Roman"/>
                <w:lang w:val="tr-TR"/>
              </w:rPr>
            </w:pPr>
            <w:r>
              <w:rPr>
                <w:rFonts w:ascii="Times New Roman" w:hAnsi="Times New Roman" w:cs="Times New Roman"/>
                <w:lang w:val="tr-TR"/>
              </w:rPr>
              <w:t xml:space="preserve">Shutterstock arama: “metal pieces salt solutions laboratory reactivity”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Planınızı yazarken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Zımpara kâğıdıyla temizlenmiş bakır, çinko, demir ve kurşun parçalarını yaklaşık 0,5 cm × 0,5 cm boyutunda hazırlayınız.</w:t>
            </w:r>
          </w:p>
          <w:p>
            <w:pPr>
              <w:jc w:val="both"/>
              <w:rPr>
                <w:rFonts w:ascii="Times New Roman" w:hAnsi="Times New Roman" w:cs="Times New Roman"/>
                <w:lang w:val="tr-TR"/>
              </w:rPr>
            </w:pPr>
            <w:r>
              <w:rPr>
                <w:rFonts w:ascii="Times New Roman" w:hAnsi="Times New Roman" w:cs="Times New Roman"/>
                <w:lang w:val="tr-TR"/>
              </w:rPr>
              <w:t xml:space="preserve">• 24 gözlü bir damla plakasının ya da şeffaf bir asetat üzerine çizilmiş 4 × 4’lük tablonun her satırına bir metal, her sütununa bir çözelti gelecek şekilde metal parçalarını yerleştiriniz.</w:t>
            </w:r>
          </w:p>
          <w:p>
            <w:pPr>
              <w:jc w:val="both"/>
              <w:rPr>
                <w:rFonts w:ascii="Times New Roman" w:hAnsi="Times New Roman" w:cs="Times New Roman"/>
                <w:lang w:val="tr-TR"/>
              </w:rPr>
            </w:pPr>
            <w:r>
              <w:rPr>
                <w:rFonts w:ascii="Times New Roman" w:hAnsi="Times New Roman" w:cs="Times New Roman"/>
                <w:lang w:val="tr-TR"/>
              </w:rPr>
              <w:t xml:space="preserve">• Her metal parçasının üzerine ilgili sütundaki 0,2 M çözeltiden 3-4 damla damlatınız. Bir metalin kendi iyonlarını içeren çözeltiyle buluştuğu gözleri karşılaştırma (kontrol) için kullanınız.</w:t>
            </w:r>
          </w:p>
          <w:p>
            <w:pPr>
              <w:jc w:val="both"/>
              <w:rPr>
                <w:rFonts w:ascii="Times New Roman" w:hAnsi="Times New Roman" w:cs="Times New Roman"/>
                <w:lang w:val="tr-TR"/>
              </w:rPr>
            </w:pPr>
            <w:r>
              <w:rPr>
                <w:rFonts w:ascii="Times New Roman" w:hAnsi="Times New Roman" w:cs="Times New Roman"/>
                <w:lang w:val="tr-TR"/>
              </w:rPr>
              <w:t xml:space="preserve">• 10 dakika sonra her gözü büyüteçle inceleyiniz. Metal yüzeyinde koyu renkli ya da kızıl kahverengi bir katı birikip birikmediğini ve çözeltinin renginde değişim olup olmadığını kaydediniz.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metallerin iyonlaşma enerjileri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Tablo A’daki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1.2.’de çinkonun bakır(II), demir(II) ve kurşun(II) iyonlarını içeren çözeltilerin hepsinde, demirin bakır(II) ve kurşun(II) iyonlarını içeren çözeltilerde, kurşunun ise yalnızca bakır(II) iyonlarını içeren çözeltide değişime uğradığını gözlemlediniz. Bakır ise hiçbir çözeltide değişime uğramadı. Bu gözlemlerden, metallerin elektron verme eğilimlerinin birbirinden farklı olduğu ve bir metalin yalnızca kendisinden daha az eğilimli bir metalin iyonlarına elektron verebildiği sonucuna ulaşılabilir. Bir metal atomunun elektron vererek yükseltgenme eğilimine o metalin </w:t>
      </w:r>
      <w:r>
        <w:rPr>
          <w:rFonts w:ascii="Times New Roman" w:hAnsi="Times New Roman" w:cs="Times New Roman"/>
          <w:b/>
          <w:bCs/>
          <w:lang w:val="tr-TR"/>
        </w:rPr>
        <w:t xml:space="preserve">aktifliği</w:t>
      </w:r>
      <w:r>
        <w:rPr>
          <w:rFonts w:ascii="Times New Roman" w:hAnsi="Times New Roman" w:cs="Times New Roman"/>
          <w:lang w:val="tr-TR"/>
        </w:rPr>
        <w:t xml:space="preserve"> denir. Deneyde belirlediğiniz sıralama şöyledir:</w:t>
      </w:r>
    </w:p>
    <w:p>
      <w:pPr>
        <w:jc w:val="center"/>
        <w:rPr>
          <w:rFonts w:ascii="Times New Roman" w:hAnsi="Times New Roman" w:cs="Times New Roman"/>
          <w:lang w:val="tr-TR"/>
        </w:rPr>
      </w:pPr>
      <w:r>
        <w:rPr>
          <w:rFonts w:ascii="Times New Roman" w:hAnsi="Times New Roman" w:cs="Times New Roman"/>
          <w:lang w:val="tr-TR"/>
        </w:rPr>
        <w:t xml:space="preserve">Zn &gt; Fe &gt; Pb &gt; Cu</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demir, kurşun(II)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kurşun metali demir(II) iyonlarına elektron veremez. Bu nedenle aktifliği farklı iki metalden yalnızca biriyle diğerinin iyonları arasında tepkime gözlenir (Görsel D). Etkinlikte metal ile kendi iyonlarını içeren çözeltiyi kontrol olarak kullanmanızın nedeni de budur: Bu gözlerde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220000" cy="2558767"/>
            <wp:docPr id="900003" name="Grafik 900003" descr="Zn-Cu2+ ve Cu-Zn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220000" cy="25587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Çinko metali ile bakır(II) iyonları ve bakır metali ile çinko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Analiz ve Keşif Atölyesi 1.1.’de magnezyum ve çinkonun seyreltik hidroklorik asitten hidrojen gazı açığa çıkardığını, bakırın ise asitle tepkime vermediğini gözlemlemiştiniz. Bu gözlem, magnezyum ve çinkonun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verebildiğini, bakırın ise veremediğini gösterir. Buna göre hidrojen, aktiflik sıralamasında çinko ile bakır arasında yer alır. Demir de seyreltik hidroklorik asitle hidrojen gazı oluşturur:</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E). Dizide üstte yer alan metal, altında yer alan metallerin iyonlarını indirgeyebilir.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3866247"/>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600000" cy="386624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Etkinliğin 5. aşamasında aktiflik sıralamasını iyonlaşma enerjileriyle ilişkilendirmeye çalıştınız. 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Peki Tablo A’daki verilere göre birinci iyonlaşma enerjisi en düşük olan kurşunun deneyde çinko ve demirden daha az aktif çıkması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bakır(II) sülfat çözeltisi demir bir kapta saklanamaz; çünkü demir bakır(II)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E’deki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E’deki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Pb(NO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Tablo A’daki çinko ve kurşun verileriyle ve deney bulgularınızla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iyonlaşma enerjileri CRC Handbook değerlerinin tam sayıya yuvarlanmış hâlidir. Alacahöyük eserlerinin tarihlendirmesi ve sergilendiği müze bilgisi yayın öncesinde müzenin resmî kaynaklarından doğrulanmalıdır.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