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“plastic containers candle olive oil pills fabric flat lay”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 Bu kadar çok sayıda bileşiği birbirinden ayırt edebilmek, yapılarını doğru biçimde gösterebilmek ve her birine tek anlamlı bir ad verebilmek için kimyacılar ortak bir dil geliştirmiştir.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“pouring cologne into hands”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“aerosol spray paint can spraying”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Görsel D’de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Görsel D: 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Tablo A’ya kaydediniz.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Görsel D’deki bileşiklerin atom sayıları ve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 A’daki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D’deki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 D’deki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 D’nin son satırındaki etanoik asidin (asetik asit) açık formülünü ve çizgi-bağ formülünü boş bırakılan yerlere çiziniz. Molekül formülünü ve basit formülünü Tablo A’ya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2.4.’te aynı bileşiğin birbirinden farklı biçimlerde gösterilebildiğini ve her gösterimin bileşik hakkında farklı bilgiler sunduğunu fark ettiniz. Bir bileşiğin molekülündeki atomların türünü ve sayısını gösteren formüle </w:t>
      </w:r>
      <w:r>
        <w:rPr>
          <w:rFonts w:ascii="Times New Roman" w:hAnsi="Times New Roman" w:cs="Times New Roman"/>
          <w:b/>
          <w:bCs/>
          <w:lang w:val="tr-TR"/>
        </w:rPr>
        <w:t xml:space="preserve">molekül formülü</w:t>
      </w:r>
      <w:r>
        <w:rPr>
          <w:rFonts w:ascii="Times New Roman" w:hAnsi="Times New Roman" w:cs="Times New Roman"/>
          <w:lang w:val="tr-TR"/>
        </w:rPr>
        <w:t xml:space="preserve"> (kapalı formül) denir. Örneğin bütanın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Etkinlikte bütanın molekül formülündeki atom sayılarının 2’ye bölünebildiğini ve karbon atomu sayısı ile hidrojen atomu sayısı arasındaki en küçük tam sayılı oranın 2 : 5 olduğunu gördünüz. Bir bileşiği oluşturan atomların türünü ve bu atomlar arasındaki en küçük tam sayılı oranı gösteren formüle </w:t>
      </w:r>
      <w:r>
        <w:rPr>
          <w:rFonts w:ascii="Times New Roman" w:hAnsi="Times New Roman" w:cs="Times New Roman"/>
          <w:b/>
          <w:bCs/>
          <w:lang w:val="tr-TR"/>
        </w:rPr>
        <w:t xml:space="preserve">basit formül</w:t>
      </w:r>
      <w:r>
        <w:rPr>
          <w:rFonts w:ascii="Times New Roman" w:hAnsi="Times New Roman" w:cs="Times New Roman"/>
          <w:lang w:val="tr-TR"/>
        </w:rPr>
        <w:t xml:space="preserve"> (empirik formül) denir. Bütanın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propenin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asidin basit formülü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O’dur. Propan ve etanolde olduğu gibi atom sayılarının 1’den büyük ortak böleni yoksa molekül formülü ile basit formül aynıdır. Bu örneklerden molekül formülünün, basit formüldeki atom sayılarının bir tam sayıyla (n) çarpılmasıyla elde edildiği sonucuna ulaşılabilir: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bileşik, mol kütlesi 30 g/mol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 60 g/mol ise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olabilir.</w:t>
      </w:r>
    </w:p>
    <w:p>
      <w:pPr>
        <w:jc w:val="both"/>
        <w:rPr>
          <w:rFonts w:ascii="Times New Roman" w:hAnsi="Times New Roman" w:cs="Times New Roman"/>
          <w:lang w:val="tr-TR"/>
        </w:rPr>
      </w:pPr>
      <w:r>
        <w:rPr>
          <w:rFonts w:ascii="Times New Roman" w:hAnsi="Times New Roman" w:cs="Times New Roman"/>
          <w:lang w:val="tr-TR"/>
        </w:rPr>
        <w:t xml:space="preserve">Etanol ve dimetil eter örneğinde gördüğünüz gibi molekül formülü aynı olan bileşikler farklı yapılarda olabilir (Görsel E). Bu nedenle organik kimyada atomların birbirine hangi sırayla ve hangi bağlarla bağlandığını gösteren </w:t>
      </w:r>
      <w:r>
        <w:rPr>
          <w:rFonts w:ascii="Times New Roman" w:hAnsi="Times New Roman" w:cs="Times New Roman"/>
          <w:b/>
          <w:bCs/>
          <w:lang w:val="tr-TR"/>
        </w:rPr>
        <w:t xml:space="preserve">yapı formülleri</w:t>
      </w:r>
      <w:r>
        <w:rPr>
          <w:rFonts w:ascii="Times New Roman" w:hAnsi="Times New Roman" w:cs="Times New Roman"/>
          <w:lang w:val="tr-TR"/>
        </w:rPr>
        <w:t xml:space="preserve"> kullanılır. Yapı formülleri açık formül, yarı açık formül ve çizgi-bağ formülü olmak üzere farklı biçimlerde yazılabilir (Görsel F).</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525735"/>
            <wp:docPr id="900005" name="Grafik 900005" descr="Görsel E: Etanol ve dimetil eter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760000" cy="1525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Etanol ve dimetil eter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F: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b/>
          <w:bCs/>
          <w:lang w:val="tr-TR"/>
        </w:rPr>
        <w:t xml:space="preserve">Yarı açık formülde</w:t>
      </w:r>
      <w:r>
        <w:rPr>
          <w:rFonts w:ascii="Times New Roman" w:hAnsi="Times New Roman" w:cs="Times New Roman"/>
          <w:lang w:val="tr-TR"/>
        </w:rPr>
        <w:t xml:space="preserve"> karbon-hidrojen bağları ve çoğunlukla oksijen-hidrojen bağları gösterilmez; bir karbon atomuna bağlı hidrojen atomları o karbon atomunun yanına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bütanın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G).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08055"/>
            <wp:docPr id="900007" name="Grafik 900007" descr="Görsel G: Büt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5760000" cy="19080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Bütan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B).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Etanol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bütan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