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Müze vitrininde sergilenen, Tunç Çağı’na ait parlak altın kap ve süs eşyaları (müze etiketleri ve logolar görünmesin).</w:t>
            </w:r>
          </w:p>
          <w:p>
            <w:pPr>
              <w:jc w:val="both"/>
              <w:rPr>
                <w:rFonts w:ascii="Times New Roman" w:hAnsi="Times New Roman" w:cs="Times New Roman"/>
                <w:lang w:val="tr-TR"/>
              </w:rPr>
            </w:pPr>
            <w:r>
              <w:rPr>
                <w:rFonts w:ascii="Times New Roman" w:hAnsi="Times New Roman" w:cs="Times New Roman"/>
                <w:lang w:val="tr-TR"/>
              </w:rPr>
              <w:t xml:space="preserve">Shutter ID: 2695029349 (fotoğraf) — Ancient gold bracelet (Alacahöyük eseri değil; temsilî)</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duran yüzeyi paslanmış galvanizli demir boru parçası ile parlak bakır su boruları.</w:t>
            </w:r>
          </w:p>
          <w:p>
            <w:pPr>
              <w:jc w:val="both"/>
              <w:rPr>
                <w:rFonts w:ascii="Times New Roman" w:hAnsi="Times New Roman" w:cs="Times New Roman"/>
                <w:lang w:val="tr-TR"/>
              </w:rPr>
            </w:pPr>
            <w:r>
              <w:rPr>
                <w:rFonts w:ascii="Times New Roman" w:hAnsi="Times New Roman" w:cs="Times New Roman"/>
                <w:lang w:val="tr-TR"/>
              </w:rPr>
              <w:t xml:space="preserve">Shutter ID: 2001791231 (fotoğraf) — Galvanic corrosion between copper and iron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KESİCİ/DELİCİ CİSİM UYARISI. Ek uyarılar: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Metal parçaları kesilirken dikkatli olunmalıdır.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etiketli küçük şişelerde renkli ve renksiz metal tuzu çözeltileri (mavi bakır(II) nitrat, açık yeşil demir(II) sülfat, renksiz çinko nitrat ve kurşun(II) nitrat) ile önlerinde petri kaplarında bakır, çinko, demir ve kurşun parçaları.</w:t>
            </w:r>
          </w:p>
          <w:p>
            <w:pPr>
              <w:jc w:val="both"/>
              <w:rPr>
                <w:rFonts w:ascii="Times New Roman" w:hAnsi="Times New Roman" w:cs="Times New Roman"/>
                <w:lang w:val="tr-TR"/>
              </w:rPr>
            </w:pPr>
            <w:r>
              <w:rPr>
                <w:rFonts w:ascii="Times New Roman" w:hAnsi="Times New Roman" w:cs="Times New Roman"/>
                <w:lang w:val="tr-TR"/>
              </w:rPr>
              <w:t xml:space="preserve">Shutterstock arama: “metal pieces salt solutions laboratory reactivity”</w:t>
            </w:r>
          </w:p>
          <w:p>
            <w:pPr>
              <w:jc w:val="both"/>
              <w:rPr>
                <w:rFonts w:ascii="Times New Roman" w:hAnsi="Times New Roman" w:cs="Times New Roman"/>
                <w:lang w:val="tr-TR"/>
              </w:rPr>
            </w:pPr>
            <w:r>
              <w:rPr>
                <w:rFonts w:ascii="Times New Roman" w:hAnsi="Times New Roman" w:cs="Times New Roman"/>
                <w:lang w:val="tr-TR"/>
              </w:rPr>
              <w:t xml:space="preserve">Shutter ID: 1211630155 (bakır sülfat çözeltisinde çinko levha). Alternatif: 1214921941. Tarifteki dört metal ve dört çözeltiyi birlikte gösteren fotoğraf bulunamadı; düzenek fotoğrafı çekilebilir.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Planınızı yazarken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Zımpara kâğıdıyla temizlenmiş bakır, çinko, demir ve kurşun parçalarını yaklaşık 0,5 cm × 0,5 cm boyutunda hazırlayınız.</w:t>
            </w:r>
          </w:p>
          <w:p>
            <w:pPr>
              <w:jc w:val="both"/>
              <w:rPr>
                <w:rFonts w:ascii="Times New Roman" w:hAnsi="Times New Roman" w:cs="Times New Roman"/>
                <w:lang w:val="tr-TR"/>
              </w:rPr>
            </w:pPr>
            <w:r>
              <w:rPr>
                <w:rFonts w:ascii="Times New Roman" w:hAnsi="Times New Roman" w:cs="Times New Roman"/>
                <w:lang w:val="tr-TR"/>
              </w:rPr>
              <w:t xml:space="preserve">• 24 gözlü bir damla plakasının ya da şeffaf bir asetat üzerine çizilmiş 4 × 4’lük tablonun her satırına bir metal, her sütununa bir çözelti gelecek şekilde metal parçalarını yerleştiriniz.</w:t>
            </w:r>
          </w:p>
          <w:p>
            <w:pPr>
              <w:jc w:val="both"/>
              <w:rPr>
                <w:rFonts w:ascii="Times New Roman" w:hAnsi="Times New Roman" w:cs="Times New Roman"/>
                <w:lang w:val="tr-TR"/>
              </w:rPr>
            </w:pPr>
            <w:r>
              <w:rPr>
                <w:rFonts w:ascii="Times New Roman" w:hAnsi="Times New Roman" w:cs="Times New Roman"/>
                <w:lang w:val="tr-TR"/>
              </w:rPr>
              <w:t xml:space="preserve">• Her metal parçasının üzerine ilgili sütundaki 0,2 M çözeltiden 3-4 damla damlatınız. Bir metalin kendi iyonlarını içeren çözeltiyle buluştuğu gözleri karşılaştırma (kontrol) için kullanınız.</w:t>
            </w:r>
          </w:p>
          <w:p>
            <w:pPr>
              <w:jc w:val="both"/>
              <w:rPr>
                <w:rFonts w:ascii="Times New Roman" w:hAnsi="Times New Roman" w:cs="Times New Roman"/>
                <w:lang w:val="tr-TR"/>
              </w:rPr>
            </w:pPr>
            <w:r>
              <w:rPr>
                <w:rFonts w:ascii="Times New Roman" w:hAnsi="Times New Roman" w:cs="Times New Roman"/>
                <w:lang w:val="tr-TR"/>
              </w:rPr>
              <w:t xml:space="preserve">• 10 dakika sonra her gözü büyüteçle inceleyiniz. Metal yüzeyinde koyu renkli ya da kızıl kahverengi bir katı birikip birikmediğini ve çözeltinin renginde değişim olup olmadığını kaydediniz.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 atomlarının elektron verme eğilimleri birbirinden farklıdır. Bir metal atomunun elektron vererek yükseltgenme eğilimine o metalin </w:t>
      </w:r>
      <w:r>
        <w:rPr>
          <w:b/>
          <w:rFonts w:ascii="Times New Roman" w:hAnsi="Times New Roman" w:cs="Times New Roman"/>
          <w:lang w:val="tr-TR"/>
        </w:rPr>
        <w:t xml:space="preserve">aktifliği</w:t>
      </w:r>
      <w:r>
        <w:rPr>
          <w:rFonts w:ascii="Times New Roman" w:hAnsi="Times New Roman" w:cs="Times New Roman"/>
          <w:lang w:val="tr-TR"/>
        </w:rPr>
        <w:t xml:space="preserve"> denir. Metallerin aktiflik sıralaması, her metalin diğer metallerin iyonlarını içeren çözeltilerle etkileşimi incelenerek belirlenebilir. Örneğin magnezyum, nikel, kalay ve gümüş şeritler bu metallerin iyonlarını içeren çözeltilere ayrı ayrı daldırıldığında magnezyumun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üçüyle de, nikelin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kalayın ise yalnızca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tepkime verdiği görülür. Gümüş ise bu çözeltilerin hiçbirinde değişime uğramaz. Bir metal yalnızca kendisinden daha az aktif bir metalin iyonlarına elektron verebildiği için bu dört metalin aktiflik sıralaması şöyledir:</w:t>
      </w:r>
    </w:p>
    <w:p>
      <w:pPr>
        <w:jc w:val="center"/>
        <w:rPr>
          <w:rFonts w:ascii="Times New Roman" w:hAnsi="Times New Roman" w:cs="Times New Roman"/>
          <w:lang w:val="tr-TR"/>
        </w:rPr>
      </w:pPr>
      <w:r>
        <w:rPr>
          <w:rFonts w:ascii="Times New Roman" w:hAnsi="Times New Roman" w:cs="Times New Roman"/>
          <w:lang w:val="tr-TR"/>
        </w:rPr>
        <w:t xml:space="preserve">Mg &gt; Ni &gt; Sn &gt; Ag</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magnezyum, nikel(II)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Mg(k)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nikel metali magnezyum iyonlarına elektron veremez. Bu nedenle aktifliği farklı iki metalden yalnızca biriyle diğerinin iyonları arasında tepkime gözlenir (Görsel C). Bir metal kendi iyonlarını içeren çözeltiye daldırıldığında ise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220000" cy="2650153"/>
            <wp:docPr id="900003" name="Grafik 900003" descr="Mg-Ni2+ ve Ni-Mg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220000" cy="265015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Magnezyum metali ile nikel(II) iyonları ve nikel metali ile magnezyum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Magnezyum ve nikel seyreltik hidroklorik asit çözeltisine eklendiğinde hidrojen gazı açığa çıkar; kalay da aynı tepkimeyi daha yavaş verir. Gümüş ise asitle tepkime vermez. Bu gözlemler magnezyum, nikel ve kalayın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verebildiğini, gümüşün ise veremediğini gösterir. Buna göre hidrojen, bu metallerin aktiflik sıralamasında kalay ile gümüş arasında yer alır. Örneğin nikelin seyreltik hidroklorik asitle tepkimesi şöyledir:</w:t>
      </w:r>
    </w:p>
    <w:p>
      <w:pPr>
        <w:jc w:val="center"/>
        <w:rPr>
          <w:rFonts w:ascii="Times New Roman" w:hAnsi="Times New Roman" w:cs="Times New Roman"/>
          <w:lang w:val="tr-TR"/>
        </w:rPr>
      </w:pPr>
      <w:r>
        <w:rPr>
          <w:rFonts w:ascii="Times New Roman" w:hAnsi="Times New Roman" w:cs="Times New Roman"/>
          <w:lang w:val="tr-TR"/>
        </w:rPr>
        <w:t xml:space="preserve">Ni(k)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sulu çözeltide indirgeyebilir; ancak suyla tepkime veren çok aktif metaller bu genellemenin dışında kalır.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 bu metaller bir metal tuzu çözeltisine konduğunda da metal iyonlarından önce suyla tepkimeye girer. Örneğin sodyumun suyla tepkimesi şöyledir: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3866247"/>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600000" cy="386624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Geçiş metallerinde ve p bloku metallerinde ise bu ilişki her zaman geçerli değildir. Örneğin kalayın birinci ve ikinci iyonlaşma enerjilerinin toplamı (709 + 1412 = 2121 kJ/mol) nikelinkinden (737 + 1753 = 2490 kJ/mol) küçüktür. Buna göre kalayın daha kolay elektron vermesi beklenebilir; oysa nikel Sn^{2+} iyonlarını indirgeyebilirken kalay Ni^{2+} iyonlarını indirgeyemez. Bu durum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nikel(II) sülfat çözeltisi galvanizli (çinko kaplı) bir kapta saklanamaz; çünkü çinko nikel(II)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AgNO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 + Zn(NO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gümüşün (731 kJ/mol) ve çinkonun (906 kJ/mol) birinci iyonlaşma enerjilerini Görsel D’deki aktiflik dizisiyle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1.2.’deki, bilgi metnindeki ve Sıra Sizde 1.2.’deki iyonlaşma enerjileri CRC Handbook değerlerinin</w:t>
      </w:r>
      <w:r>
        <w:rPr>
          <w:rFonts w:ascii="Times New Roman" w:hAnsi="Times New Roman" w:cs="Times New Roman"/>
          <w:highlight w:val="yellow"/>
          <w:lang w:val="tr-TR"/>
        </w:rPr>
        <w:t xml:space="preserve">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