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Bu soruların cevabını bir etkinlik yaparak keşfediniz.</w:t>
      </w:r>
    </w:p>
    <w:p>
      <w:pPr>
        <w:jc w:val="center"/>
      </w:pPr>
      <w:r>
        <w:drawing>
          <wp:inline xmlns:a="http://schemas.openxmlformats.org/drawingml/2006/main" xmlns:pic="http://schemas.openxmlformats.org/drawingml/2006/picture">
            <wp:extent cx="4047109" cy="2520000"/>
            <wp:docPr id="900012" name="Picture 900012"/>
            <wp:cNvGraphicFramePr>
              <a:graphicFrameLocks noChangeAspect="1"/>
            </wp:cNvGraphicFramePr>
            <a:graphic>
              <a:graphicData uri="http://schemas.openxmlformats.org/drawingml/2006/picture">
                <pic:pic>
                  <pic:nvPicPr>
                    <pic:cNvPr id="0" name="2382373611_d.jpg"/>
                    <pic:cNvPicPr/>
                  </pic:nvPicPr>
                  <pic:blipFill>
                    <a:blip r:embed="rId11"/>
                    <a:stretch>
                      <a:fillRect/>
                    </a:stretch>
                  </pic:blipFill>
                  <pic:spPr>
                    <a:xfrm>
                      <a:off x="0" y="0"/>
                      <a:ext cx="4047109"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2382373611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24206" cy="3752095"/>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124206" cy="375209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Hesapladığınız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değerlerini, tepkimenin gözlenip gözlenmemesine göre gruplandırarak bir örüntü belirleyiniz. Bu örüntüden yararlanarak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ile tepkimenin istemli olup olmadığı arasındaki ilişkiye dair bir çıkarımda bulununuz ve çıkarımınızı hangi verilere dayandırdığınızı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Hücre potansiyeli, </w:t>
      </w:r>
      <w:r>
        <w:rPr>
          <w:b/>
          <w:rFonts w:ascii="Times New Roman" w:hAnsi="Times New Roman" w:cs="Times New Roman"/>
          <w:lang w:val="tr-TR"/>
        </w:rPr>
        <w:t xml:space="preserve">elektromotor kuvvet</w:t>
      </w:r>
      <w:r>
        <w:rPr>
          <w:rFonts w:ascii="Times New Roman" w:hAnsi="Times New Roman" w:cs="Times New Roman"/>
          <w:lang w:val="tr-TR"/>
        </w:rPr>
        <w:t xml:space="preserve"> olarak da adlandırılır. Bir hücrenin potansiyeli elektrotların cinsine, iyon derişimlerine ve sıcaklığa bağlıdır. Bu nedenle farklı hücrelerin potansiyelleri ancak aynı koşullarda, yani standart koşullarda ölçülen </w:t>
      </w:r>
      <w:r>
        <w:rPr>
          <w:b/>
          <w:rFonts w:ascii="Times New Roman" w:hAnsi="Times New Roman" w:cs="Times New Roman"/>
          <w:lang w:val="tr-TR"/>
        </w:rPr>
        <w:t xml:space="preserve">standart hücre potansiyeli</w:t>
      </w: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değerleriyle karşılaştırılabilir. IUPAC günümüzde standart basınç olarak 1 atm yerine 1 bar’ı esas almaktadır; bu iki basınç arasındaki fark hücre potansiyellerini önemli ölçüde değiştirmez.</w:t>
      </w:r>
    </w:p>
    <w:p>
      <w:pPr>
        <w:jc w:val="both"/>
        <w:rPr>
          <w:rFonts w:ascii="Times New Roman" w:hAnsi="Times New Roman" w:cs="Times New Roman"/>
          <w:lang w:val="tr-TR"/>
        </w:rPr>
      </w:pPr>
      <w:r>
        <w:rPr>
          <w:rFonts w:ascii="Times New Roman" w:hAnsi="Times New Roman" w:cs="Times New Roman"/>
          <w:lang w:val="tr-TR"/>
        </w:rPr>
        <w:t xml:space="preserve">Yarı hücrelerin potansiyellerini karşılaştırmak için ölçüt olarak seçilen elektroda </w:t>
      </w:r>
      <w:r>
        <w:rPr>
          <w:b/>
          <w:rFonts w:ascii="Times New Roman" w:hAnsi="Times New Roman" w:cs="Times New Roman"/>
          <w:lang w:val="tr-TR"/>
        </w:rPr>
        <w:t xml:space="preserve">referans elektrot</w:t>
      </w:r>
      <w:r>
        <w:rPr>
          <w:rFonts w:ascii="Times New Roman" w:hAnsi="Times New Roman" w:cs="Times New Roman"/>
          <w:lang w:val="tr-TR"/>
        </w:rPr>
        <w:t xml:space="preserve"> denir. Referans olarak kullanılan </w:t>
      </w:r>
      <w:r>
        <w:rPr>
          <w:b/>
          <w:rFonts w:ascii="Times New Roman" w:hAnsi="Times New Roman" w:cs="Times New Roman"/>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lang w:val="tr-TR"/>
          <w:vertAlign w:val="superscript"/>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ile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arasındaki elektron alışverişi için yüzey sağlar. SHE’nin potansiyelinin 0,00 V kabul edilmesi bilim insanlarının ortak kararıdır; diğer bütün yarı hücrelerin potansiyelleri bu değere göre belirlenir.</w:t>
      </w:r>
    </w:p>
    <w:p>
      <w:pPr>
        <w:jc w:val="both"/>
        <w:rPr>
          <w:rFonts w:ascii="Times New Roman" w:hAnsi="Times New Roman" w:cs="Times New Roman"/>
          <w:lang w:val="tr-TR"/>
        </w:rPr>
      </w:pPr>
      <w:r>
        <w:rPr>
          <w:rFonts w:ascii="Times New Roman" w:hAnsi="Times New Roman" w:cs="Times New Roman"/>
          <w:lang w:val="tr-TR"/>
        </w:rPr>
        <w:t xml:space="preserve">Bir yarı tepkimenin indirgenme yönünde yazılarak SHE’ye karşı standart koşullarda ölçülen potansiyeline </w:t>
      </w:r>
      <w:r>
        <w:rPr>
          <w:b/>
          <w:rFonts w:ascii="Times New Roman" w:hAnsi="Times New Roman" w:cs="Times New Roman"/>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hücresi standart koşullarda SHE ile birleştirildiğinde katot olur ve voltmetre 1,07 V gösterir; bu nedenle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tepkimesinin E° değeri +1,07 V’tur. Kurşun yarı hücresi ise SHE’ye karşı anot olur ve voltmetrede 0,13 V okunur;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yarı tepkimesinin E° değeri −0,13 V’tur. Pozitif E° değeri, türün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iyonlarından daha kolay indirgendiğini; negatif E° değeri ise yarı tepkimedeki metalin H</w:t>
      </w:r>
      <w:r>
        <w:rPr>
          <w:rFonts w:ascii="Times New Roman" w:hAnsi="Times New Roman" w:cs="Times New Roman"/>
          <w:lang w:val="tr-TR"/>
          <w:vertAlign w:val="subscript"/>
        </w:rPr>
        <w:t xml:space="preserve">2</w:t>
      </w:r>
      <w:r>
        <w:rPr>
          <w:rFonts w:ascii="Times New Roman" w:hAnsi="Times New Roman" w:cs="Times New Roman"/>
          <w:lang w:val="tr-TR"/>
        </w:rPr>
        <w:t xml:space="preserve">’den daha kolay yükseltgendiğini gösterir.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metallerin aktiflik dizisiyle uyumludur. Bir yarı tepkime ters yönde yazıldığında potansiyelinin işareti değişir. Örneğin Pb(k)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+0,13 V’tur.</w:t>
      </w:r>
    </w:p>
    <w:p>
      <w:pPr>
        <w:jc w:val="both"/>
        <w:rPr>
          <w:rFonts w:ascii="Times New Roman" w:hAnsi="Times New Roman" w:cs="Times New Roman"/>
          <w:lang w:val="tr-TR"/>
        </w:rPr>
      </w:pPr>
      <w:r>
        <w:rPr>
          <w:rFonts w:ascii="Times New Roman" w:hAnsi="Times New Roman" w:cs="Times New Roman"/>
          <w:lang w:val="tr-TR"/>
        </w:rPr>
        <w:t xml:space="preserve">Standart indirgenme potansiyelleri bilinen iki yarı hücreden oluşan bir hücrenin standart potansiyeli, hücre kurulmadan hesaplanabilir.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Örneğin Cr(k) | 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1 M)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Pb(k) hücresinde krom yükseltgenir,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indirgenir. Alınan ve verilen elektron sayılarını eşitlemek için yükseltgenme yarı tepkimesi 2 ile, indirgenme yarı tepkimesi 3 ile çarpılır ve net tepkime 2Cr(k) + 3Pb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+ 3Pb(k) olur.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(−0,13 V) − (−0,74 V) = 0,61 V’tur. Hesaplamada yarı tepkimelerin 2 ve 3 ile çarpılmış olması kullanılan E° değerlerini değiştirmez. Standart indirgenme potansiyeli, bir türün elektron alma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bir redoks tepkimesinin kendiliğinden gerçekleşip gerçekleşmeyeceğini de gösterir.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olan tepkimeler standart koşullarda </w:t>
      </w:r>
      <w:r>
        <w:rPr>
          <w:b/>
          <w:rFonts w:ascii="Times New Roman" w:hAnsi="Times New Roman" w:cs="Times New Roman"/>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olanlar ise </w:t>
      </w:r>
      <w:r>
        <w:rPr>
          <w:b/>
          <w:rFonts w:ascii="Times New Roman" w:hAnsi="Times New Roman" w:cs="Times New Roman"/>
          <w:lang w:val="tr-TR"/>
        </w:rPr>
        <w:t xml:space="preserve">istemsizdir</w:t>
      </w:r>
      <w:r>
        <w:rPr>
          <w:rFonts w:ascii="Times New Roman" w:hAnsi="Times New Roman" w:cs="Times New Roman"/>
          <w:lang w:val="tr-TR"/>
        </w:rPr>
        <w:t xml:space="preserve">. İstemsiz bir tepkimenin tersi istemlidir. Örneğin 3Sn(k)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+ 2Al(k) tepkimesinin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(−1,66 V) − (−0,14 V) = −1,52 V olduğundan bu tepkime standart koşullarda kendiliğinden gerçekleşmez; tersi olan alüminyum ile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tepkimesi ise istemlidir. Standart koşullarda çalışan bir galvanik hücrede gerçekleşen tepkime istemli olduğundan galvanik hücrelerin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p>
      <w:pPr>
        <w:jc w:val="center"/>
      </w:pPr>
      <w:r>
        <w:drawing>
          <wp:inline xmlns:a="http://schemas.openxmlformats.org/drawingml/2006/main" xmlns:pic="http://schemas.openxmlformats.org/drawingml/2006/picture">
            <wp:extent cx="3433242" cy="2520000"/>
            <wp:docPr id="900013" name="Picture 900013"/>
            <wp:cNvGraphicFramePr>
              <a:graphicFrameLocks noChangeAspect="1"/>
            </wp:cNvGraphicFramePr>
            <a:graphic>
              <a:graphicData uri="http://schemas.openxmlformats.org/drawingml/2006/picture">
                <pic:pic>
                  <pic:nvPicPr>
                    <pic:cNvPr id="0" name="2138004859_d.jpg"/>
                    <pic:cNvPicPr/>
                  </pic:nvPicPr>
                  <pic:blipFill>
                    <a:blip r:embed="rId12"/>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2138004859</w:t>
      </w: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ç.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Ni, Pb, Fe, Mg ve Au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