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85355" cy="1979999"/>
                  <wp:docPr id="900008" name="Picture 900008"/>
                  <wp:cNvGraphicFramePr>
                    <a:graphicFrameLocks noChangeAspect="1"/>
                  </wp:cNvGraphicFramePr>
                  <a:graphic>
                    <a:graphicData uri="http://schemas.openxmlformats.org/drawingml/2006/picture">
                      <pic:pic>
                        <pic:nvPicPr>
                          <pic:cNvPr id="0" name="2736658123_d.jpg"/>
                          <pic:cNvPicPr/>
                        </pic:nvPicPr>
                        <pic:blipFill>
                          <a:blip r:embed="rId11"/>
                          <a:stretch>
                            <a:fillRect/>
                          </a:stretch>
                        </pic:blipFill>
                        <pic:spPr>
                          <a:xfrm>
                            <a:off x="0" y="0"/>
                            <a:ext cx="2485355"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2736658123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c>
        <w:tc>
          <w:tcPr>
            <w:tcW w:w="4500" w:type="dxa"/>
          </w:tcPr>
          <w:p>
            <w:pPr>
              <w:jc w:val="center"/>
            </w:pPr>
            <w:r>
              <w:drawing>
                <wp:inline xmlns:a="http://schemas.openxmlformats.org/drawingml/2006/main" xmlns:pic="http://schemas.openxmlformats.org/drawingml/2006/picture">
                  <wp:extent cx="2628000" cy="1916688"/>
                  <wp:docPr id="900009" name="Picture 900009"/>
                  <wp:cNvGraphicFramePr>
                    <a:graphicFrameLocks noChangeAspect="1"/>
                  </wp:cNvGraphicFramePr>
                  <a:graphic>
                    <a:graphicData uri="http://schemas.openxmlformats.org/drawingml/2006/picture">
                      <pic:pic>
                        <pic:nvPicPr>
                          <pic:cNvPr id="0" name="2570033357_d.jpg"/>
                          <pic:cNvPicPr/>
                        </pic:nvPicPr>
                        <pic:blipFill>
                          <a:blip r:embed="rId12"/>
                          <a:stretch>
                            <a:fillRect/>
                          </a:stretch>
                        </pic:blipFill>
                        <pic:spPr>
                          <a:xfrm>
                            <a:off x="0" y="0"/>
                            <a:ext cx="2628000" cy="1916688"/>
                          </a:xfrm>
                          <a:prstGeom prst="rect"/>
                        </pic:spPr>
                      </pic:pic>
                    </a:graphicData>
                  </a:graphic>
                </wp:inline>
              </w:drawing>
            </w:r>
          </w:p>
          <w:p>
            <w:pPr>
              <w:jc w:val="center"/>
            </w:pPr>
            <w:r>
              <w:rPr>
                <w:rFonts w:ascii="Times New Roman" w:hAnsi="Times New Roman" w:cs="Times New Roman"/>
                <w:b/>
                <w:bCs/>
                <w:highlight w:val="yellow"/>
                <w:lang w:val="tr-TR"/>
              </w:rPr>
              <w:t xml:space="preserve">Shutter id: 2570033357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tc>
      </w:tr>
    </w:tbl>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ELEKTRİK UYARISI, KIRILABİLİR CAM UYARISI. Ek uyarılar: Bakır(II) sülfat çözeltisi zararlı ve tahriş edicidir, seyreltik sülfürik asit aşındırıcıdır. Yalnızca düşük gerilimli (en fazla 6 V) doğru akım kaynağı kullanılmalıdır. Kullanılan çözeltiler lavaboya dökülmemeli, öğretmenin göstereceği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Aşağıdaki tablodaki standart indirgenme potansiyellerinden ve önceki konularda öğrendiklerinizden yararlanarak aşağıdaki tasarım kararlarını veriniz ve her kararınızın gerekçesini yazınız.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250 mL’lik beher, 1 M bakır(II) sülfat çözeltisi (her 100 mL’sine 1-2 mL seyreltik sülfürik asit eklenmiş), bakır levha, kaplanacak metal eşya, 1,5-6 V’luk doğru akım kaynağı, ampermetre, bağlantı kabloları ve timsah kıskaçlar, zımpara kâğıdı, deterjan, terazi (0,01 g duyarlı) ve kronometre gibi malzemeler kullanabilirsiniz. Deneyinizi gerçekleştirmek için farklı malzemeler de tercih edebilirsiniz. Deneyinizi gerçekleştirirken uymanız gereken güvenlik uyarılarını belirleyiniz. Deney düzeneğinizin şemasını çiziniz.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deneme için akım ile sürenin çarpımını hesaplayınız. Eşyanın kütlesindeki artışın bu çarpımla nasıl değiştiğini belirleyiniz ve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eşyanın yüzeyinin elektroliz yoluyla başka bir metalin ince bir tabakasıyla kaplanmasına elektrolizle kaplama (elektrokaplama) denir. Elektrolizle kaplamada kaplanacak eşya güç kaynağının negatif kutbuna bağlanarak katot, kaplama yapılacak metal pozitif kutba bağlanarak anot olarak kullanılır. Elektrolit, kaplama metalinin iyonlarını içeren bir çözeltidir. Örneğin çelik levhalar, çinko anot ve çinko sülfat (ZnSO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kullanılarak çinkoyla kaplanabilir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017272" cy="3057150"/>
            <wp:docPr id="900003" name="Grafik 900003" descr="Çinko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017272" cy="3057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Çelik bir levhanın çinkoyla kaplanması</w:t>
      </w:r>
    </w:p>
    <w:p>
      <w:pPr>
        <w:jc w:val="both"/>
        <w:rPr>
          <w:rFonts w:ascii="Times New Roman" w:hAnsi="Times New Roman" w:cs="Times New Roman"/>
          <w:lang w:val="tr-TR"/>
        </w:rPr>
      </w:pPr>
      <w:r>
        <w:rPr>
          <w:rFonts w:ascii="Times New Roman" w:hAnsi="Times New Roman" w:cs="Times New Roman"/>
          <w:lang w:val="tr-TR"/>
        </w:rPr>
        <w:t xml:space="preserve">Çelik levhanın çinkoyla kaplanması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br/>
      </w:r>
      <w:r>
        <w:rPr>
          <w:rFonts w:ascii="Times New Roman" w:hAnsi="Times New Roman" w:cs="Times New Roman"/>
          <w:lang w:val="tr-TR"/>
        </w:rPr>
        <w:t xml:space="preserve">Katot (indirgenme):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r>
        <w:br/>
      </w:r>
      <w:r>
        <w:rPr>
          <w:rFonts w:ascii="Times New Roman" w:hAnsi="Times New Roman" w:cs="Times New Roman"/>
          <w:lang w:val="tr-TR"/>
        </w:rPr>
        <w:t xml:space="preserve">Net değişim:   Zn(k)</w:t>
      </w:r>
      <w:r>
        <w:rPr>
          <w:rFonts w:ascii="Times New Roman" w:hAnsi="Times New Roman" w:cs="Times New Roman"/>
          <w:lang w:val="tr-TR"/>
          <w:vertAlign w:val="subscript"/>
        </w:rPr>
        <w:t xml:space="preserve">anot</w:t>
      </w:r>
      <w:r>
        <w:rPr>
          <w:rFonts w:ascii="Times New Roman" w:hAnsi="Times New Roman" w:cs="Times New Roman"/>
          <w:lang w:val="tr-TR"/>
        </w:rPr>
        <w:t xml:space="preserve"> → Zn(k)</w:t>
      </w:r>
      <w:r>
        <w:rPr>
          <w:rFonts w:ascii="Times New Roman" w:hAnsi="Times New Roman" w:cs="Times New Roman"/>
          <w:lang w:val="tr-TR"/>
          <w:vertAlign w:val="subscript"/>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karşılık katotta bir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indirgenir. Bu nedenle katodun kazandığı kütle anodun kaybettiği kütleye yaklaşık eşittir ve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değişmez; kaplama işlemi uzun süre aynı koşullarda sürdürülebilir. Anotta ve katotta aynı yarı tepkime zıt yönlerde gerçekleştiğinden 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(−0,76 V) = 0 V’tur. Buna göre kuramsal olarak çok küçük bir gerilim kaplama için yeterlidir; uygulamada çözeltinin direncini yenmek ve uygun bir akım elde etmek için daha büyük bir gerilim uygulanır. Çinkonun standart indirgenme potansiyeli (−0,76 V) suyunkine (−0,83 V) yakın olduğundan katotta bir miktar hidrojen gazı da oluşabilir. Ancak hidrojen gazının çinko yüzeyinde oluşması yavaş olduğundan uygun akım ve derişimde katotta ağırlıklı olarak çinko birikir.</w:t>
      </w:r>
    </w:p>
    <w:p>
      <w:pPr>
        <w:jc w:val="both"/>
        <w:rPr>
          <w:rFonts w:ascii="Times New Roman" w:hAnsi="Times New Roman" w:cs="Times New Roman"/>
          <w:lang w:val="tr-TR"/>
        </w:rPr>
      </w:pPr>
      <w:r>
        <w:rPr>
          <w:rFonts w:ascii="Times New Roman" w:hAnsi="Times New Roman" w:cs="Times New Roman"/>
          <w:lang w:val="tr-TR"/>
        </w:rPr>
        <w:t xml:space="preserve">Anot olarak çinko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(+1,23 V) = −1,99 V’tur ve en az 1,99 V gerilim gerektirir. Ayrıca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harcandıkça derişimleri azalır, 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nedeniyle çözelti asitleşir ve kaplama hızı düşer.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Faraday’in elektroliz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galvanizleme denir. Galvanizleme, eşyanın ergimiş çinkoya daldırılmasıyla (sıcak daldırma) ya da yukarıda açıklandığı gibi elektrolizle (elektrogalvanizleme) yapılabilir. Çinko kaplama demiri hem havayla temasını keserek hem de demirden daha aktif olduğu için kendisi yükseltgenerek korur. Çinkonun standart indirgenme potansiyeli (−0,76 V) demirinkinden (−0,44 V) küçüktür. Bu nedenle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Analiz ve Keşif Atölyesi 1.8.’deki standart indirgenme potansiyellerinden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Analiz ve Keşif Atölyesi 1.8.’deki standart indirgenme potansiyellerinden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1.8.’deki hazır veri setinde yer alan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