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Bu soruların cevabını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1242450" cy="1980000"/>
                  <wp:docPr id="900010" name="Picture 900010"/>
                  <wp:cNvGraphicFramePr>
                    <a:graphicFrameLocks noChangeAspect="1"/>
                  </wp:cNvGraphicFramePr>
                  <a:graphic>
                    <a:graphicData uri="http://schemas.openxmlformats.org/drawingml/2006/picture">
                      <pic:pic>
                        <pic:nvPicPr>
                          <pic:cNvPr id="0" name="144344515_d.jpg"/>
                          <pic:cNvPicPr/>
                        </pic:nvPicPr>
                        <pic:blipFill>
                          <a:blip r:embed="rId11"/>
                          <a:stretch>
                            <a:fillRect/>
                          </a:stretch>
                        </pic:blipFill>
                        <pic:spPr>
                          <a:xfrm>
                            <a:off x="0" y="0"/>
                            <a:ext cx="124245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144344515</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c>
        <w:tc>
          <w:tcPr>
            <w:tcW w:w="4500" w:type="dxa"/>
          </w:tcPr>
          <w:p>
            <w:pPr>
              <w:jc w:val="center"/>
            </w:pPr>
            <w:r>
              <w:drawing>
                <wp:inline xmlns:a="http://schemas.openxmlformats.org/drawingml/2006/main" xmlns:pic="http://schemas.openxmlformats.org/drawingml/2006/picture">
                  <wp:extent cx="2628000" cy="1674911"/>
                  <wp:docPr id="900011" name="Picture 900011"/>
                  <wp:cNvGraphicFramePr>
                    <a:graphicFrameLocks noChangeAspect="1"/>
                  </wp:cNvGraphicFramePr>
                  <a:graphic>
                    <a:graphicData uri="http://schemas.openxmlformats.org/drawingml/2006/picture">
                      <pic:pic>
                        <pic:nvPicPr>
                          <pic:cNvPr id="0" name="2485328929_d.jpg"/>
                          <pic:cNvPicPr/>
                        </pic:nvPicPr>
                        <pic:blipFill>
                          <a:blip r:embed="rId12"/>
                          <a:stretch>
                            <a:fillRect/>
                          </a:stretch>
                        </pic:blipFill>
                        <pic:spPr>
                          <a:xfrm>
                            <a:off x="0" y="0"/>
                            <a:ext cx="2628000" cy="1674911"/>
                          </a:xfrm>
                          <a:prstGeom prst="rect"/>
                        </pic:spPr>
                      </pic:pic>
                    </a:graphicData>
                  </a:graphic>
                </wp:inline>
              </w:drawing>
            </w:r>
          </w:p>
          <w:p>
            <w:pPr>
              <w:jc w:val="center"/>
            </w:pPr>
            <w:r>
              <w:rPr>
                <w:rFonts w:ascii="Times New Roman" w:hAnsi="Times New Roman" w:cs="Times New Roman"/>
                <w:b/>
                <w:bCs/>
                <w:highlight w:val="yellow"/>
                <w:lang w:val="tr-TR"/>
              </w:rPr>
              <w:t xml:space="preserve">Shutter id: 2485328929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yukarıdaki görseldeki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oluşturduğunuz modellerde kapalı formülleri aynı olan bileşiklerin aynı atomları farklı düzenlerle bir araya getirdiği ve bu farklı düzenlerin farklı fonksiyonel gruplar oluşturduğu görülür. Kapalı formülleri aynı olan bu bileşikler birbirinin izomeridir. Kapalı formülleri aynı, fonksiyonel grupları farklı olan bileşiklere </w:t>
      </w:r>
      <w:r>
        <w:rPr>
          <w:b/>
          <w:rFonts w:ascii="Times New Roman" w:hAnsi="Times New Roman" w:cs="Times New Roman"/>
          <w:lang w:val="tr-TR"/>
        </w:rPr>
        <w:t xml:space="preserve">fonksiyonel grup izomerleri</w:t>
      </w:r>
      <w:r>
        <w:rPr>
          <w:rFonts w:ascii="Times New Roman" w:hAnsi="Times New Roman" w:cs="Times New Roman"/>
          <w:lang w:val="tr-TR"/>
        </w:rPr>
        <w:t xml:space="preserve">, bu izomerlik türüne de </w:t>
      </w:r>
      <w:r>
        <w:rPr>
          <w:b/>
          <w:rFonts w:ascii="Times New Roman" w:hAnsi="Times New Roman" w:cs="Times New Roman"/>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 izomerliği türüdür.</w:t>
      </w:r>
    </w:p>
    <w:p>
      <w:pPr>
        <w:jc w:val="both"/>
        <w:rPr>
          <w:rFonts w:ascii="Times New Roman" w:hAnsi="Times New Roman" w:cs="Times New Roman"/>
          <w:lang w:val="tr-TR"/>
        </w:rPr>
      </w:pPr>
      <w:r>
        <w:rPr>
          <w:rFonts w:ascii="Times New Roman" w:hAnsi="Times New Roman" w:cs="Times New Roman"/>
          <w:lang w:val="tr-TR"/>
        </w:rPr>
        <w:t xml:space="preserve">Açık zincirli ve doymuş bileşiklerde fonksiyonel grup izomerliği üç temel biçimde görülür (Tablo A).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 – 1-metoksibütan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 – pentan-2-on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hekzanoik asit – etil bütanoat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Karbon sayısı arttıkça izomer sayısı da artar. Örneğin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formülüne iki karboksilik asit ve dört ester karşılık gelir. Karboksilik asitler kendi aralarında zincir yapısı bakımından, esterler de RCO– ve –OR′ gruplarındaki karbon sayıları bakımından birbirinin izomeridir; alkoller ise –OH grubunun konumuna göre birbirinin izomeri olabilir.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Fonksiyonel grup izomerlerinin özelliklerindeki farklılıklar fonksiyonel grupların yapısıyla açıklanabilir (Tablo B).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C’de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Pentan-1-ol (kaynama noktası 138 °C) ile 1-metoksibütanın (kaynama noktası 70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O’dur; mol kütleleri ve elektron sayıları aynıdır. Bu nedenle London kuvvetleri yaklaşık aynı büyüklüktedir. Pentan-1-ol molekülünde oksijene bağlı hidrojen atomu bulunduğundan moleküller arasında hidrojen bağı oluşur. 1-Metoksibütan moleküllerinde ise oksijene bağlı hidrojen atomu yoktur ve moleküller arasında yalnızca dipol-dipol etkileşimleri ile London kuvvetleri bulunur. Hidrojen bağlarını koparmak için daha fazla enerji gerektiğinden pentan-1-olün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C’nin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propan-2-ol – metoksietan</w:t>
      </w:r>
      <w:r>
        <w:rPr>
          <w:rFonts w:ascii="Times New Roman" w:hAnsi="Times New Roman" w:cs="Times New Roman"/>
          <w:lang w:val="tr-TR"/>
        </w:rPr>
        <w:tab/>
      </w:r>
      <w:r>
        <w:rPr>
          <w:rFonts w:ascii="Times New Roman" w:hAnsi="Times New Roman" w:cs="Times New Roman"/>
          <w:lang w:val="tr-TR"/>
        </w:rPr>
        <w:t xml:space="preserve">b. bütan-1-ol – bütan-2-ol</w:t>
      </w:r>
      <w:r>
        <w:rPr>
          <w:rFonts w:ascii="Times New Roman" w:hAnsi="Times New Roman" w:cs="Times New Roman"/>
          <w:lang w:val="tr-TR"/>
        </w:rPr>
        <w:tab/>
      </w:r>
      <w:r>
        <w:rPr>
          <w:rFonts w:ascii="Times New Roman" w:hAnsi="Times New Roman" w:cs="Times New Roman"/>
          <w:lang w:val="tr-TR"/>
        </w:rPr>
        <w:t xml:space="preserve">c. 2-metilpropanoik asit – metil propanoat</w:t>
      </w:r>
      <w:r>
        <w:rPr>
          <w:rFonts w:ascii="Times New Roman" w:hAnsi="Times New Roman" w:cs="Times New Roman"/>
          <w:lang w:val="tr-TR"/>
        </w:rPr>
        <w:br/>
      </w:r>
      <w:r>
        <w:rPr>
          <w:rFonts w:ascii="Times New Roman" w:hAnsi="Times New Roman" w:cs="Times New Roman"/>
          <w:lang w:val="tr-TR"/>
        </w:rPr>
        <w:t xml:space="preserve">ç. propanal – bütanon</w:t>
      </w:r>
      <w:r>
        <w:rPr>
          <w:rFonts w:ascii="Times New Roman" w:hAnsi="Times New Roman" w:cs="Times New Roman"/>
          <w:lang w:val="tr-TR"/>
        </w:rPr>
        <w:tab/>
      </w:r>
      <w:r>
        <w:rPr>
          <w:rFonts w:ascii="Times New Roman" w:hAnsi="Times New Roman" w:cs="Times New Roman"/>
          <w:lang w:val="tr-TR"/>
        </w:rPr>
        <w:t xml:space="preserve">d. pentan-3-on – 2-metilbütanal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kapalı formülüne sahip iki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Propanoik asidin kaynama noktası metil 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Metil bütanoat elma aromasının bileşenlerinden biridir ve gıdalarda aroma verici olarak kullanılır. Fonksiyonel grup izomeri olan pentanoik asit ise keskin ve kötü bir kokuya sahiptir. Bu iki bileşiğin uzay dolgu modellerini çizerek kokuları ve kaynama noktaları (metil bütanoat 103 °C, pentanoik asit 186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2.11.’deki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