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Bu soruların cevabını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p>
      <w:pPr>
        <w:jc w:val="center"/>
      </w:pPr>
      <w:r>
        <w:drawing>
          <wp:inline xmlns:a="http://schemas.openxmlformats.org/drawingml/2006/main" xmlns:pic="http://schemas.openxmlformats.org/drawingml/2006/picture">
            <wp:extent cx="3085714" cy="2520000"/>
            <wp:docPr id="900016" name="Picture 900016"/>
            <wp:cNvGraphicFramePr>
              <a:graphicFrameLocks noChangeAspect="1"/>
            </wp:cNvGraphicFramePr>
            <a:graphic>
              <a:graphicData uri="http://schemas.openxmlformats.org/drawingml/2006/picture">
                <pic:pic>
                  <pic:nvPicPr>
                    <pic:cNvPr id="0" name="2739220279_d.jpg"/>
                    <pic:cNvPicPr/>
                  </pic:nvPicPr>
                  <pic:blipFill>
                    <a:blip r:embed="rId11"/>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2739220279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p>
      <w:pPr>
        <w:jc w:val="center"/>
      </w:pPr>
      <w:r>
        <w:drawing>
          <wp:inline xmlns:a="http://schemas.openxmlformats.org/drawingml/2006/main" xmlns:pic="http://schemas.openxmlformats.org/drawingml/2006/picture">
            <wp:extent cx="3439490" cy="2520000"/>
            <wp:docPr id="900017" name="Picture 900017"/>
            <wp:cNvGraphicFramePr>
              <a:graphicFrameLocks noChangeAspect="1"/>
            </wp:cNvGraphicFramePr>
            <a:graphic>
              <a:graphicData uri="http://schemas.openxmlformats.org/drawingml/2006/picture">
                <pic:pic>
                  <pic:nvPicPr>
                    <pic:cNvPr id="0" name="1099246217_d.jpg"/>
                    <pic:cNvPicPr/>
                  </pic:nvPicPr>
                  <pic:blipFill>
                    <a:blip r:embed="rId12"/>
                    <a:stretch>
                      <a:fillRect/>
                    </a:stretch>
                  </pic:blipFill>
                  <pic:spPr>
                    <a:xfrm>
                      <a:off x="0" y="0"/>
                      <a:ext cx="343949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1099246217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Seçtiğiniz alkoller, mini ispirto ocakları, ince bir metal kap (alüminyum ya da teneke kutu), sehpa, terazi, termometre, cam baget ve su gibi malzemeler kullanabilirsiniz. Deneyinizi gerçekleştirmek için farklı malzemeler de tercih edebilirsiniz. Deneyinizi gerçekleştirirken uymanız gereken güvenlik uyarılarını belirleyiniz. Deneye başlamadan önce öğretmeninizle birlikte laboratuvar güvenlik kurallarını gözden geçiriniz. Deney bitince kullanılmayan alkolleri öğretmeninizin göstereceği kaplarda toplayınız; lavaboya dökmeyiniz.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06578" cy="3139446"/>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5306578" cy="313944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590805"/>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38354" cy="25908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