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Kapalı uçlu kısımlar: Ölçüm tablosundaki verimler (η =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100 mW/cm² · 100): böğürtlen %0,60; karadut %0,71; kırmızı lahana %0,30; ıspanak %0,18; zerdeçal %0,25; sentetik rutenyum kompleksi %8,06; böğürtlen + gümüş nanoparçacık %0,77. Işık şiddeti tablosu: Işık gücü 1000 W/m²’den 10 W/m²’ye düştüğünde silisyum hücrenin verimi %20,0’dan %12,0’ye azalır; boyaya duyarlı hücrenin verimi %10,0’dan %11,8’e çıkar, yani düşük ışıktan çok az etkilenir. Doğal boyalar arasında en yüksek verim karadut, en düşük verim ıspanak özütüyle elde edilmiştir. Gümüş nanoparçacık eklenince açık devre gerilimi (0,52 → 0,53 V) ve özellikle kısa devre akım yoğunluğu (2,10 → 2,60 mA/cm²) artmış, verim yükselmiştir.</w:t>
      </w:r>
    </w:p>
    <w:p>
      <w:pPr>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Y, D, Y, D, D</w:t>
      </w:r>
    </w:p>
    <w:p>
      <w:pPr>
        <w:jc w:val="both"/>
        <w:rPr>
          <w:rFonts w:ascii="Times New Roman" w:hAnsi="Times New Roman" w:cs="Times New Roman"/>
          <w:lang w:val="tr-TR"/>
        </w:rPr>
      </w:pPr>
      <w:r>
        <w:rPr>
          <w:rFonts w:ascii="Times New Roman" w:hAnsi="Times New Roman" w:cs="Times New Roman"/>
          <w:lang w:val="tr-TR"/>
        </w:rPr>
        <w:t xml:space="preserve">2.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0,45 V · 3,2 mA = 1,44 mW; 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mW/cm² · 2,0 cm² = 200 mW; η = (1,44 / 200) · 100 = %0,72</w:t>
      </w:r>
    </w:p>
    <w:p>
      <w:pPr>
        <w:jc w:val="both"/>
        <w:rPr>
          <w:rFonts w:ascii="Times New Roman" w:hAnsi="Times New Roman" w:cs="Times New Roman"/>
          <w:lang w:val="tr-TR"/>
        </w:rPr>
      </w:pPr>
      <w:r>
        <w:rPr>
          <w:rFonts w:ascii="Times New Roman" w:hAnsi="Times New Roman" w:cs="Times New Roman"/>
          <w:lang w:val="tr-TR"/>
        </w:rPr>
        <w:t xml:space="preserve">3. P</w:t>
      </w:r>
      <w:r>
        <w:rPr>
          <w:rFonts w:ascii="Times New Roman" w:hAnsi="Times New Roman" w:cs="Times New Roman"/>
          <w:vertAlign w:val="subscript"/>
          <w:lang w:val="tr-TR"/>
        </w:rPr>
        <w:t xml:space="preserve">en yüksek</w:t>
      </w:r>
      <w:r>
        <w:rPr>
          <w:rFonts w:ascii="Times New Roman" w:hAnsi="Times New Roman" w:cs="Times New Roman"/>
          <w:lang w:val="tr-TR"/>
        </w:rPr>
        <w:t xml:space="preserve"> = 0,50 V · 4,0 mA · 0,60 = 1,2 mW; 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200 mW; η = (1,2 / 200) · 100 = %0,60</w:t>
      </w:r>
    </w:p>
    <w:p>
      <w:pPr>
        <w:jc w:val="both"/>
        <w:rPr>
          <w:rFonts w:ascii="Times New Roman" w:hAnsi="Times New Roman" w:cs="Times New Roman"/>
          <w:lang w:val="tr-TR"/>
        </w:rPr>
      </w:pPr>
      <w:r>
        <w:rPr>
          <w:rFonts w:ascii="Times New Roman" w:hAnsi="Times New Roman" w:cs="Times New Roman"/>
          <w:lang w:val="tr-TR"/>
        </w:rPr>
        <w:t xml:space="preserve">4. Karadut suyundaki antosiyaninlerin yan yana bulunan –OH grupları titanyum dioksit yüzeyine bağlanır; boya yüzeye sıkıca tutunur ve uyarılmış boyadan titanyum dioksite elektron geçişi kolaylaşır. Ispanaktaki klorofilde bu tür bağlanma grupları bulunmadığından yüzeye tutunma ve elektron aktarımı zayıftır; bu nedenle verim düşüktür.</w:t>
      </w:r>
    </w:p>
    <w:p>
      <w:pPr>
        <w:jc w:val="both"/>
        <w:rPr>
          <w:rFonts w:ascii="Times New Roman" w:hAnsi="Times New Roman" w:cs="Times New Roman"/>
          <w:lang w:val="tr-TR"/>
        </w:rPr>
      </w:pPr>
      <w:r>
        <w:rPr>
          <w:rFonts w:ascii="Times New Roman" w:hAnsi="Times New Roman" w:cs="Times New Roman"/>
          <w:lang w:val="tr-TR"/>
        </w:rPr>
        <w:t xml:space="preserve">5. Her ikisi de ışığı soğurarak elektron kaybeden maddeye (klorofil / boya) elektron vererek onu ilk hâline döndürür. Fotosentezde su yükseltgenir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 su tükenir. Boyaya duyarlı pilde iyodür iyonları yükseltgenerek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I</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karşı elektrotta dış devreden gelen elektronlarla yeniden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indirgenir, yani elektrolit harcanmaz, döngü hâlinde çalışır.</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 Beklenen: Çatıya doğrudan güneş ışığı aldığı ve yüksek verim önemli olduğu için silisyum paneller; kuzeye bakan pencerelere yarı saydam olduğu, dağınık ışıkta verimini koruduğu ve düşük enerjiyle üretildiği için boyaya duyarlı güneş pilleri. Ömür, elektrolit sızıntısı ve atık yönetimi gibi sınırlılıklara değinilmesi beklenir.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3.2.</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Kapalı uçlu kısımlar: Polisakkaritler: selüloz (glikoz), nişasta (glikoz), pektin (galakturonik asit), kitosan (glukozamin). Proteinler: jelatin, kolajen, glüten, soya proteini (amino asitler). Ortaklık: Hepsi bitki ya da hayvan kaynaklıdır (biyokütle, tarımsal kaynak); toprakta mikroorganizmalarca parçalanırlar. Hazır veri seti: Gliserin miktarı arttıkça esneklik, suda şişme ve toprakta kütle kaybı artar; suda dağılma süresi kısalır. Bileşen görevleri: nişasta ana polimer, su çözücü ve jelleştirici ortam, sirke daha düzgün ve daha az kırılgan film, gliserin plastikleştirici.</w:t>
      </w:r>
    </w:p>
    <w:p>
      <w:pPr>
        <w:jc w:val="both"/>
        <w:rPr>
          <w:rFonts w:ascii="Times New Roman" w:hAnsi="Times New Roman" w:cs="Times New Roman"/>
          <w:b/>
          <w:bCs/>
          <w:lang w:val="tr-TR"/>
        </w:rPr>
      </w:pPr>
      <w:r>
        <w:rPr>
          <w:rFonts w:ascii="Times New Roman" w:hAnsi="Times New Roman" w:cs="Times New Roman"/>
          <w:b/>
          <w:bCs/>
          <w:lang w:val="tr-TR"/>
        </w:rPr>
        <w:t xml:space="preserve">Sıra Sizde 3.2.</w:t>
      </w:r>
    </w:p>
    <w:p>
      <w:pPr>
        <w:jc w:val="both"/>
        <w:rPr>
          <w:rFonts w:ascii="Times New Roman" w:hAnsi="Times New Roman" w:cs="Times New Roman"/>
          <w:lang w:val="tr-TR"/>
        </w:rPr>
      </w:pPr>
      <w:r>
        <w:rPr>
          <w:rFonts w:ascii="Times New Roman" w:hAnsi="Times New Roman" w:cs="Times New Roman"/>
          <w:lang w:val="tr-TR"/>
        </w:rPr>
        <w:t xml:space="preserve">1. Y, Y, D, D, D</w:t>
      </w:r>
    </w:p>
    <w:p>
      <w:pPr>
        <w:jc w:val="both"/>
        <w:rPr>
          <w:rFonts w:ascii="Times New Roman" w:hAnsi="Times New Roman" w:cs="Times New Roman"/>
          <w:lang w:val="tr-TR"/>
        </w:rPr>
      </w:pPr>
      <w:r>
        <w:rPr>
          <w:rFonts w:ascii="Times New Roman" w:hAnsi="Times New Roman" w:cs="Times New Roman"/>
          <w:lang w:val="tr-TR"/>
        </w:rPr>
        <w:t xml:space="preserve">2. Şişme (%) = [(1,40 − 0,80) / 0,80] · 100 = %75</w:t>
      </w:r>
    </w:p>
    <w:p>
      <w:pPr>
        <w:jc w:val="both"/>
        <w:rPr>
          <w:rFonts w:ascii="Times New Roman" w:hAnsi="Times New Roman" w:cs="Times New Roman"/>
          <w:lang w:val="tr-TR"/>
        </w:rPr>
      </w:pPr>
      <w:r>
        <w:rPr>
          <w:rFonts w:ascii="Times New Roman" w:hAnsi="Times New Roman" w:cs="Times New Roman"/>
          <w:lang w:val="tr-TR"/>
        </w:rPr>
        <w:t xml:space="preserve">3. Kütle kaybı (%) = [(2,40 − 0,60) / 2,40] · 100 = %75</w:t>
      </w:r>
    </w:p>
    <w:p>
      <w:pPr>
        <w:jc w:val="both"/>
        <w:rPr>
          <w:rFonts w:ascii="Times New Roman" w:hAnsi="Times New Roman" w:cs="Times New Roman"/>
          <w:lang w:val="tr-TR"/>
        </w:rPr>
      </w:pPr>
      <w:r>
        <w:rPr>
          <w:rFonts w:ascii="Times New Roman" w:hAnsi="Times New Roman" w:cs="Times New Roman"/>
          <w:lang w:val="tr-TR"/>
        </w:rPr>
        <w:t xml:space="preserve">4. F2 önerilir: Saydamdır, kırılmadan 8 kez katlanabilir (yarı esnek). F1 kırılgan ve bulanık, F3 yapışkan ve suda çabuk dağılan, F4 opak olduğu için amaca uygun değildir. (Esnekliği biraz artırmak için gliserin miktarının 2 mL ile 5 mL arasında bir değere çıkarılıp denenmesi de gerekçeli olarak kabul edilir.)</w:t>
      </w:r>
    </w:p>
    <w:p>
      <w:pPr>
        <w:jc w:val="both"/>
        <w:rPr>
          <w:rFonts w:ascii="Times New Roman" w:hAnsi="Times New Roman" w:cs="Times New Roman"/>
          <w:lang w:val="tr-TR"/>
        </w:rPr>
      </w:pPr>
      <w:r>
        <w:rPr>
          <w:rFonts w:ascii="Times New Roman" w:hAnsi="Times New Roman" w:cs="Times New Roman"/>
          <w:lang w:val="tr-TR"/>
        </w:rPr>
        <w:t xml:space="preserve">5. Şeker kamışı kaynaklı polietilen: biyokaynaklı. Nişasta, PLA ve jelatin: hem biyokaynaklı hem biyobozunur. Petrol kaynaklı biyobozunur polyester: biyobozunur.</w:t>
      </w:r>
    </w:p>
    <w:p>
      <w:pPr>
        <w:jc w:val="both"/>
        <w:rPr>
          <w:rFonts w:ascii="Times New Roman" w:hAnsi="Times New Roman" w:cs="Times New Roman"/>
          <w:lang w:val="tr-TR"/>
        </w:rPr>
      </w:pPr>
      <w:r>
        <w:rPr>
          <w:rFonts w:ascii="Times New Roman" w:hAnsi="Times New Roman" w:cs="Times New Roman"/>
          <w:lang w:val="tr-TR"/>
        </w:rPr>
        <w:t xml:space="preserve">6. Gliserin üç –OH grubu taşıyan küçük bir moleküldür. Nişasta zincirleri arasına girip zincirlerle hidrojen bağı yaparak zincirlerin birbirine tutunmasını zayıflatır; zincirler birbiri üzerinden kolayca kayar ve film esnekleşir. –OH grupları su molekülleriyle de hidrojen bağı yaptığından gliserin suyu çeker; film suda daha çok şişer ve daha hızlı dağılır.</w:t>
      </w:r>
    </w:p>
    <w:p>
      <w:pPr>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 İddiaların değerlendirilmesi için beklenen: 1. Kanıta dayanmaz; uygulamanın amacı ve kaynak tüketimi değerlendirilmelidir. 2. Kısmen kanıta dayanır; tahminler deneyle doğrulanmalıdır, modelin eğitimi de enerji tüketir. 3. Kanıta dayanmaz; su tüketimi, donanım üretimi ve elektronik atık gibi etkiler sürer. 4. Kanıta dayanmaz; öğrenme ve beceri gelişimi engellenir, emeğin sahipliği açısından etik sorun oluşur.</w:t>
      </w:r>
    </w:p>
    <w:p>
      <w:pPr>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1-ç, 2-a, 3-b, 4-c</w:t>
      </w:r>
    </w:p>
    <w:p>
      <w:pPr>
        <w:jc w:val="both"/>
        <w:rPr>
          <w:rFonts w:ascii="Times New Roman" w:hAnsi="Times New Roman" w:cs="Times New Roman"/>
          <w:lang w:val="tr-TR"/>
        </w:rPr>
      </w:pPr>
      <w:r>
        <w:rPr>
          <w:rFonts w:ascii="Times New Roman" w:hAnsi="Times New Roman" w:cs="Times New Roman"/>
          <w:lang w:val="tr-TR"/>
        </w:rPr>
        <w:t xml:space="preserve">2. a) Olası katkı b) Olası risk c) Olası katkı ç) Olası risk d) Olası risk</w:t>
      </w:r>
    </w:p>
    <w:p>
      <w:pPr>
        <w:jc w:val="both"/>
        <w:rPr>
          <w:rFonts w:ascii="Times New Roman" w:hAnsi="Times New Roman" w:cs="Times New Roman"/>
          <w:lang w:val="tr-TR"/>
        </w:rPr>
      </w:pPr>
      <w:r>
        <w:rPr>
          <w:rFonts w:ascii="Times New Roman" w:hAnsi="Times New Roman" w:cs="Times New Roman"/>
          <w:lang w:val="tr-TR"/>
        </w:rPr>
        <w:t xml:space="preserve">3. Toplam tüketim = 415 TWh / 0,015 ≈ 27 700 TWh</w:t>
      </w:r>
    </w:p>
    <w:p>
      <w:pPr>
        <w:jc w:val="both"/>
        <w:rPr>
          <w:rFonts w:ascii="Times New Roman" w:hAnsi="Times New Roman" w:cs="Times New Roman"/>
          <w:lang w:val="tr-TR"/>
        </w:rPr>
      </w:pPr>
      <w:r>
        <w:rPr>
          <w:rFonts w:ascii="Times New Roman" w:hAnsi="Times New Roman" w:cs="Times New Roman"/>
          <w:lang w:val="tr-TR"/>
        </w:rPr>
        <w:t xml:space="preserve">4. Öğrenci özgün cevabını oluşturur. Beklenen: İddiaya katılınmaz. Verimlilik artışı bir hizmeti ucuzlatıp kullanımını artırabilir; tasarrufun bir kısmı kaybolur. Ayrıca veri merkezlerinin elektrik tüketimi hızla artmaktadır (IEA’ya göre 2030’a kadar iki katından fazla). Toplam etki, sağlanan tasarruf ile yapay zekânın kendi tüketiminin karşılaştırılmasıyla belirlenebilir.</w:t>
      </w:r>
    </w:p>
    <w:p>
      <w:pPr>
        <w:jc w:val="both"/>
        <w:rPr>
          <w:rFonts w:ascii="Times New Roman" w:hAnsi="Times New Roman" w:cs="Times New Roman"/>
          <w:lang w:val="tr-TR"/>
        </w:rPr>
      </w:pPr>
      <w:r>
        <w:rPr>
          <w:rFonts w:ascii="Times New Roman" w:hAnsi="Times New Roman" w:cs="Times New Roman"/>
          <w:lang w:val="tr-TR"/>
        </w:rPr>
        <w:t xml:space="preserve">5. Öğrenci özgün cevabını oluşturur. Beklenen: Daha az deneme ve atık, daha az enerji ve çözücü, daha güvenli çözücü/katalizör seçimi (atık önleme, kataliz, enerji verimliliği, daha güvenli çözücüler ilkeleri). Dikkat edilecekler: tahminlerin deneyle doğrulanması, verilerin güvenilirliği, modelin enerji tüketimi, zehirlilik ve güvenlik denetimlerinin atlanmaması.</w:t>
      </w:r>
    </w:p>
    <w:p>
      <w:pPr>
        <w:jc w:val="both"/>
        <w:rPr>
          <w:rFonts w:ascii="Times New Roman" w:hAnsi="Times New Roman" w:cs="Times New Roman"/>
          <w:lang w:val="tr-TR"/>
        </w:rPr>
      </w:pPr>
      <w:r>
        <w:rPr>
          <w:rFonts w:ascii="Times New Roman" w:hAnsi="Times New Roman" w:cs="Times New Roman"/>
          <w:lang w:val="tr-TR"/>
        </w:rPr>
        <w:t xml:space="preserve">6. Öğrenci özgün cevabını oluşturur.</w:t>
      </w:r>
    </w:p>
    <w:p>
      <w:pPr>
        <w:jc w:val="both"/>
        <w:rPr>
          <w:rFonts w:ascii="Times New Roman" w:hAnsi="Times New Roman" w:cs="Times New Roman"/>
          <w:b/>
          <w:bCs/>
          <w:lang w:val="tr-TR"/>
        </w:rPr>
      </w:pPr>
      <w:r>
        <w:rPr>
          <w:rFonts w:ascii="Times New Roman" w:hAnsi="Times New Roman" w:cs="Times New Roman"/>
          <w:b/>
          <w:bCs/>
          <w:lang w:val="tr-TR"/>
        </w:rPr>
        <w:t xml:space="preserve">3. Tema Ünite Sonu Değerlendirme Soruları</w:t>
      </w:r>
    </w:p>
    <w:p>
      <w:pPr>
        <w:jc w:val="both"/>
      </w:pPr>
      <w:r>
        <w:rPr>
          <w:rFonts w:ascii="Times New Roman" w:hAnsi="Times New Roman" w:cs="Times New Roman"/>
          <w:b/>
          <w:sz w:val="24"/>
        </w:rPr>
        <w:t xml:space="preserve">1. </w:t>
      </w:r>
      <w:r>
        <w:rPr>
          <w:rFonts w:ascii="Times New Roman" w:hAnsi="Times New Roman" w:cs="Times New Roman"/>
          <w:lang w:val="tr-TR"/>
        </w:rPr>
        <w:t xml:space="preserve">P</w:t>
      </w:r>
      <w:r>
        <w:rPr>
          <w:rFonts w:ascii="Times New Roman" w:hAnsi="Times New Roman" w:cs="Times New Roman"/>
          <w:vertAlign w:val="subscript"/>
          <w:lang w:val="tr-TR"/>
        </w:rPr>
        <w:t xml:space="preserve">gelen</w:t>
      </w:r>
      <w:r>
        <w:rPr>
          <w:rFonts w:ascii="Times New Roman" w:hAnsi="Times New Roman" w:cs="Times New Roman"/>
          <w:lang w:val="tr-TR"/>
        </w:rPr>
        <w:t xml:space="preserve"> = 100 mW/cm² · 2,0 cm² = 200 mW. Siyah havuç: 0,40 · 3,00 = 1,20 mW → %0,60. Vişne: 0,35 · 2,00 = 0,70 mW → %0,35. Kırmızı soğan kabuğu: 0,40 · 1,25 = 0,50 mW → %0,25. Maydanoz: 0,25 · 0,80 = 0,20 mW → %0,10. Sıralama: siyah havuç &gt; vişne &gt; kırmızı soğan kabuğu &gt; maydanoz.</w:t>
      </w:r>
    </w:p>
    <w:p>
      <w:pPr>
        <w:jc w:val="both"/>
      </w:pPr>
      <w:r>
        <w:rPr>
          <w:rFonts w:ascii="Times New Roman" w:hAnsi="Times New Roman" w:cs="Times New Roman"/>
          <w:b/>
          <w:sz w:val="24"/>
        </w:rPr>
        <w:t xml:space="preserve">2. </w:t>
      </w:r>
      <w:r>
        <w:rPr>
          <w:rFonts w:ascii="Times New Roman" w:hAnsi="Times New Roman" w:cs="Times New Roman"/>
          <w:lang w:val="tr-TR"/>
        </w:rPr>
        <w:t xml:space="preserve">Doluluk faktörü = 1,20 mW / (0,50 V · 4,0 mA) = 1,20 / 2,0 = 0,60. Hücreden alınabilen en yüksek güç, açık devre gerilimi ile kısa devre akımının çarpımından küçüktür; doluluk faktörü 1’den uzaklaştıkça hücrenin iç kayıpları artar.</w:t>
      </w:r>
    </w:p>
    <w:p>
      <w:pPr>
        <w:jc w:val="both"/>
      </w:pPr>
      <w:r>
        <w:rPr>
          <w:rFonts w:ascii="Times New Roman" w:hAnsi="Times New Roman" w:cs="Times New Roman"/>
          <w:b/>
          <w:sz w:val="24"/>
        </w:rPr>
        <w:t xml:space="preserve">3. </w:t>
      </w:r>
      <w:r>
        <w:rPr>
          <w:rFonts w:ascii="Times New Roman" w:hAnsi="Times New Roman" w:cs="Times New Roman"/>
          <w:lang w:val="tr-TR"/>
        </w:rPr>
        <w:t xml:space="preserve">Antosiyaninlerin yapısındaki yan yana bulunan –OH grupları titanyum iyonlarına bağlanarak boyanın TiO</w:t>
      </w:r>
      <w:r>
        <w:rPr>
          <w:rFonts w:ascii="Times New Roman" w:hAnsi="Times New Roman" w:cs="Times New Roman"/>
          <w:vertAlign w:val="subscript"/>
          <w:lang w:val="tr-TR"/>
        </w:rPr>
        <w:t xml:space="preserve">2</w:t>
      </w:r>
      <w:r>
        <w:rPr>
          <w:rFonts w:ascii="Times New Roman" w:hAnsi="Times New Roman" w:cs="Times New Roman"/>
          <w:lang w:val="tr-TR"/>
        </w:rPr>
        <w:t xml:space="preserve"> yüzeyine sıkıca tutunmasını sağlar; uyarılmış boyadan TiO</w:t>
      </w:r>
      <w:r>
        <w:rPr>
          <w:rFonts w:ascii="Times New Roman" w:hAnsi="Times New Roman" w:cs="Times New Roman"/>
          <w:vertAlign w:val="subscript"/>
          <w:lang w:val="tr-TR"/>
        </w:rPr>
        <w:t xml:space="preserve">2</w:t>
      </w:r>
      <w:r>
        <w:rPr>
          <w:rFonts w:ascii="Times New Roman" w:hAnsi="Times New Roman" w:cs="Times New Roman"/>
          <w:lang w:val="tr-TR"/>
        </w:rPr>
        <w:t xml:space="preserve">’ye elektron geçişi kolaylaşır. Klorofilde bu tür bağlanma grupları bulunmadığı için elektron aktarımı zayıftır ve verim düşük kalır.</w:t>
      </w:r>
    </w:p>
    <w:p>
      <w:pPr>
        <w:jc w:val="both"/>
      </w:pPr>
      <w:r>
        <w:rPr>
          <w:rFonts w:ascii="Times New Roman" w:hAnsi="Times New Roman" w:cs="Times New Roman"/>
          <w:b/>
          <w:sz w:val="24"/>
        </w:rPr>
        <w:t xml:space="preserve">4. </w:t>
      </w:r>
      <w:r>
        <w:rPr>
          <w:rFonts w:ascii="Times New Roman" w:hAnsi="Times New Roman" w:cs="Times New Roman"/>
          <w:lang w:val="tr-TR"/>
        </w:rPr>
        <w:t xml:space="preserve">Işık şiddeti kontrol edilmemiştir; hücreye gelen ışığın gücü bilinmeden verim doğru hesaplanamaz ve diğer hücrelerle karşılaştırılamaz. Ölçüm aynı lamba altında, aynı uzaklıkta, 100 mW/cm² ışık gücünde (ışık sensörüyle doğrulanarak) yapılmalı; hücre yüzey alanı aynı olmalı, ölçümler en az üç kez tekrarlanıp ortalaması alınmalıdır.</w:t>
      </w:r>
    </w:p>
    <w:p>
      <w:pPr>
        <w:jc w:val="both"/>
      </w:pPr>
      <w:r>
        <w:rPr>
          <w:rFonts w:ascii="Times New Roman" w:hAnsi="Times New Roman" w:cs="Times New Roman"/>
          <w:b/>
          <w:sz w:val="24"/>
        </w:rPr>
        <w:t xml:space="preserve">5. </w:t>
      </w:r>
      <w:r>
        <w:rPr>
          <w:rFonts w:ascii="Times New Roman" w:hAnsi="Times New Roman" w:cs="Times New Roman"/>
          <w:lang w:val="tr-TR"/>
        </w:rPr>
        <w:t xml:space="preserve">B (Gümüş nanoparçacıklar belirli dalga boylarındaki ışıkla güçlü etkileşerek çevrelerindeki boya moleküllerinin daha fazla ışık soğurmasına yardımcı olur; kısa devre akımı ve verim artabilir.)</w:t>
      </w:r>
    </w:p>
    <w:p>
      <w:pPr>
        <w:jc w:val="both"/>
      </w:pPr>
      <w:r>
        <w:rPr>
          <w:rFonts w:ascii="Times New Roman" w:hAnsi="Times New Roman" w:cs="Times New Roman"/>
          <w:b/>
          <w:sz w:val="24"/>
        </w:rPr>
        <w:t xml:space="preserve">6. </w:t>
      </w:r>
      <w:r>
        <w:rPr>
          <w:rFonts w:ascii="Times New Roman" w:hAnsi="Times New Roman" w:cs="Times New Roman"/>
          <w:lang w:val="tr-TR"/>
        </w:rPr>
        <w:t xml:space="preserve">D, Y, D, Y, Y</w:t>
      </w:r>
    </w:p>
    <w:p>
      <w:pPr>
        <w:jc w:val="both"/>
      </w:pPr>
      <w:r>
        <w:rPr>
          <w:rFonts w:ascii="Times New Roman" w:hAnsi="Times New Roman" w:cs="Times New Roman"/>
          <w:b/>
          <w:sz w:val="24"/>
        </w:rPr>
        <w:t xml:space="preserve">7. </w:t>
      </w:r>
      <w:r>
        <w:rPr>
          <w:rFonts w:ascii="Times New Roman" w:hAnsi="Times New Roman" w:cs="Times New Roman"/>
          <w:lang w:val="tr-TR"/>
        </w:rPr>
        <w:t xml:space="preserve">B - II</w:t>
      </w:r>
    </w:p>
    <w:p>
      <w:pPr>
        <w:jc w:val="both"/>
      </w:pPr>
      <w:r>
        <w:rPr>
          <w:rFonts w:ascii="Times New Roman" w:hAnsi="Times New Roman" w:cs="Times New Roman"/>
          <w:b/>
          <w:sz w:val="24"/>
        </w:rPr>
        <w:t xml:space="preserve">8. </w:t>
      </w:r>
      <w:r>
        <w:rPr>
          <w:rFonts w:ascii="Times New Roman" w:hAnsi="Times New Roman" w:cs="Times New Roman"/>
          <w:lang w:val="tr-TR"/>
        </w:rPr>
        <w:t xml:space="preserve">1-a, 2-b, 3-c, 4-ç</w:t>
      </w:r>
    </w:p>
    <w:p>
      <w:pPr>
        <w:jc w:val="both"/>
      </w:pPr>
      <w:r>
        <w:rPr>
          <w:rFonts w:ascii="Times New Roman" w:hAnsi="Times New Roman" w:cs="Times New Roman"/>
          <w:b/>
          <w:sz w:val="24"/>
        </w:rPr>
        <w:t xml:space="preserve">9. </w:t>
      </w:r>
      <w:r>
        <w:rPr>
          <w:rFonts w:ascii="Times New Roman" w:hAnsi="Times New Roman" w:cs="Times New Roman"/>
          <w:lang w:val="tr-TR"/>
        </w:rPr>
        <w:t xml:space="preserve">1 cm² hücreden alınan güç = 0,25 mW/cm² · (12/100) = 0,030 mW/cm². Gerekli alan = 0,90 mW / 0,030 mW/cm² = 30 cm².</w:t>
      </w:r>
    </w:p>
    <w:p>
      <w:pPr>
        <w:jc w:val="both"/>
      </w:pPr>
      <w:r>
        <w:rPr>
          <w:rFonts w:ascii="Times New Roman" w:hAnsi="Times New Roman" w:cs="Times New Roman"/>
          <w:b/>
          <w:sz w:val="24"/>
        </w:rPr>
        <w:t xml:space="preserve">10. </w:t>
      </w:r>
      <w:r>
        <w:rPr>
          <w:rFonts w:ascii="Times New Roman" w:hAnsi="Times New Roman" w:cs="Times New Roman"/>
          <w:lang w:val="tr-TR"/>
        </w:rPr>
        <w:t xml:space="preserve">Örnek amaç: Mandalina atığından elde edilen pektinle, rulo hâlinde kırılmadan saklanabilen ve toprakta sulandığında kısa sürede dağılarak tohumların çimlenmesini engellemeyen bir tohum bandı elde etmek. Özellikler: esneklik (kırılmadan katlanabilme), suda kısa sürede dağılma, toprakta bozunabilme.</w:t>
      </w:r>
    </w:p>
    <w:p>
      <w:pPr>
        <w:jc w:val="both"/>
      </w:pPr>
      <w:r>
        <w:rPr>
          <w:rFonts w:ascii="Times New Roman" w:hAnsi="Times New Roman" w:cs="Times New Roman"/>
          <w:b/>
          <w:sz w:val="24"/>
        </w:rPr>
        <w:t xml:space="preserve">11. </w:t>
      </w:r>
      <w:r>
        <w:rPr>
          <w:rFonts w:ascii="Times New Roman" w:hAnsi="Times New Roman" w:cs="Times New Roman"/>
          <w:lang w:val="tr-TR"/>
        </w:rPr>
        <w:t xml:space="preserve">P1: (1,12 − 0,80)/0,80 · 100 = %40. P2: (2,10 − 1,20)/1,20 · 100 = %75. P3: (1,89 − 0,90)/0,90 · 100 = %110. P4: (2,40 − 1,50)/1,50 · 100 = %60. Gliserin miktarı arttıkça (P1 → P2 → P3) şişme yüzdesi artar.</w:t>
      </w:r>
    </w:p>
    <w:p>
      <w:pPr>
        <w:jc w:val="both"/>
      </w:pPr>
      <w:r>
        <w:rPr>
          <w:rFonts w:ascii="Times New Roman" w:hAnsi="Times New Roman" w:cs="Times New Roman"/>
          <w:b/>
          <w:sz w:val="24"/>
        </w:rPr>
        <w:t xml:space="preserve">12. </w:t>
      </w:r>
      <w:r>
        <w:rPr>
          <w:rFonts w:ascii="Times New Roman" w:hAnsi="Times New Roman" w:cs="Times New Roman"/>
          <w:lang w:val="tr-TR"/>
        </w:rPr>
        <w:t xml:space="preserve">P1 kırılgandır (2 katlanma), rulo yapılamaz ve suda çok geç dağılır; elenir. P4 dayanıklıdır ancak yaklaşık 32 saatte dağıldığı için tohum bandından çok fide kabı gibi dayanıklılık gereken ürünlere uygundur. P2 orta esnekliktedir, yaklaşık 20 saatte dağılır. P3 çok esnektir (20’den fazla katlanma), rulo hâlinde kırılmaz ve suda yaklaşık 6 saatte dağılarak tohumların çimlenmesini engellemez. Seçim: P3 (gerekçeli olarak P2’yi seçen cevaplar da kabul edilir).</w:t>
      </w:r>
    </w:p>
    <w:p>
      <w:pPr>
        <w:jc w:val="both"/>
      </w:pPr>
      <w:r>
        <w:rPr>
          <w:rFonts w:ascii="Times New Roman" w:hAnsi="Times New Roman" w:cs="Times New Roman"/>
          <w:b/>
          <w:sz w:val="24"/>
        </w:rPr>
        <w:t xml:space="preserve">13. </w:t>
      </w:r>
      <w:r>
        <w:rPr>
          <w:rFonts w:ascii="Times New Roman" w:hAnsi="Times New Roman" w:cs="Times New Roman"/>
          <w:lang w:val="tr-TR"/>
        </w:rPr>
        <w:t xml:space="preserve">C</w:t>
      </w:r>
    </w:p>
    <w:p>
      <w:pPr>
        <w:jc w:val="both"/>
      </w:pPr>
      <w:r>
        <w:rPr>
          <w:rFonts w:ascii="Times New Roman" w:hAnsi="Times New Roman" w:cs="Times New Roman"/>
          <w:b/>
          <w:sz w:val="24"/>
        </w:rPr>
        <w:t xml:space="preserve">14. </w:t>
      </w:r>
      <w:r>
        <w:rPr>
          <w:rFonts w:ascii="Times New Roman" w:hAnsi="Times New Roman" w:cs="Times New Roman"/>
          <w:lang w:val="tr-TR"/>
        </w:rPr>
        <w:t xml:space="preserve">Film esneklik ve suda hızlı dağılma amaçlarını karşılamış ancak saklama koşulunda yapışkan olduğu için amaca tam ulaşılamamıştır. Gliserinin fazlası filmi yapışkan ve suya karşı daha duyarlı hâle getirir. Gliserin miktarı azaltılarak (ör. 2-3 mL) ya da az miktarda kabuk tozu/kâğıt lifi eklenerek yapışkanlık azaltılabilir; yeni bileşim aynı testlerle denenip sonuçlar amaçla yeniden karşılaştırılmalıdır.</w:t>
      </w:r>
    </w:p>
    <w:p>
      <w:pPr>
        <w:jc w:val="both"/>
      </w:pPr>
      <w:r>
        <w:rPr>
          <w:rFonts w:ascii="Times New Roman" w:hAnsi="Times New Roman" w:cs="Times New Roman"/>
          <w:b/>
          <w:sz w:val="24"/>
        </w:rPr>
        <w:t xml:space="preserve">15. </w:t>
      </w:r>
      <w:r>
        <w:rPr>
          <w:rFonts w:ascii="Times New Roman" w:hAnsi="Times New Roman" w:cs="Times New Roman"/>
          <w:lang w:val="tr-TR"/>
        </w:rPr>
        <w:t xml:space="preserve">Kitosan: + / +. PHA: + / +. Şeker kamışı kaynaklı polietilen: + / −. Petrol kaynaklı polietilen: − / −. Petrol kaynaklı biyobozunur polyester: − / +.</w:t>
      </w:r>
    </w:p>
    <w:p>
      <w:pPr>
        <w:jc w:val="both"/>
      </w:pPr>
      <w:r>
        <w:rPr>
          <w:rFonts w:ascii="Times New Roman" w:hAnsi="Times New Roman" w:cs="Times New Roman"/>
          <w:b/>
          <w:sz w:val="24"/>
        </w:rPr>
        <w:t xml:space="preserve">16. </w:t>
      </w:r>
      <w:r>
        <w:rPr>
          <w:rFonts w:ascii="Times New Roman" w:hAnsi="Times New Roman" w:cs="Times New Roman"/>
          <w:lang w:val="tr-TR"/>
        </w:rPr>
        <w:t xml:space="preserve">B</w:t>
      </w:r>
    </w:p>
    <w:p>
      <w:pPr>
        <w:jc w:val="both"/>
      </w:pPr>
      <w:r>
        <w:rPr>
          <w:rFonts w:ascii="Times New Roman" w:hAnsi="Times New Roman" w:cs="Times New Roman"/>
          <w:b/>
          <w:sz w:val="24"/>
        </w:rPr>
        <w:t xml:space="preserve">17. </w:t>
      </w:r>
      <w:r>
        <w:rPr>
          <w:rFonts w:ascii="Times New Roman" w:hAnsi="Times New Roman" w:cs="Times New Roman"/>
          <w:lang w:val="tr-TR"/>
        </w:rPr>
        <w:t xml:space="preserve">a) Kompost: (5,00 − 0,50)/5,00 · 100 = %90. Toprak: (5,00 − 4,60)/5,00 · 100 = %8. Deniz suyu: (5,00 − 4,85)/5,00 · 100 = %3.  b) İfade yanıltıcıdır. PLA yalnızca sıcaklığı ve nemi yüksek endüstriyel kompost ortamında kısa sürede bozunmuş; toprakta ve deniz suyunda 8 haftada çok az kütle kaybetmiştir. Biyobozunurluk, hangi koşulda ve ne kadar sürede bozunduğu bilgisiyle birlikte verilmelidir.  c) Örnek: “Endüstriyel kompost tesislerinde bozunur; doğaya atmayınız, kompost atıklarıyla ayrı toplayınız.”</w:t>
      </w:r>
    </w:p>
    <w:p>
      <w:pPr>
        <w:jc w:val="both"/>
      </w:pPr>
      <w:r>
        <w:rPr>
          <w:rFonts w:ascii="Times New Roman" w:hAnsi="Times New Roman" w:cs="Times New Roman"/>
          <w:b/>
          <w:sz w:val="24"/>
        </w:rPr>
        <w:t xml:space="preserve">18. </w:t>
      </w:r>
      <w:r>
        <w:rPr>
          <w:rFonts w:ascii="Times New Roman" w:hAnsi="Times New Roman" w:cs="Times New Roman"/>
          <w:lang w:val="tr-TR"/>
        </w:rPr>
        <w:t xml:space="preserve">Ameliyat ipliğinin görevi yara iyileşene kadar sürer; PGA bu sürede vücutta parçalandığı için dikişlerin alınması gerekmez ve ikinci bir müdahale önlenir. Protezin ise yıllarca işlev görmesi gerekir; bozunan bir polimer protezin dayanımını kaybetmesine yol açar. Bu nedenle uzun süreli kullanımda vücutla uyumlu ve vücut sıvılarına dayanıklı polimerler seçilir.</w:t>
      </w:r>
    </w:p>
    <w:p>
      <w:pPr>
        <w:jc w:val="both"/>
      </w:pPr>
      <w:r>
        <w:rPr>
          <w:rFonts w:ascii="Times New Roman" w:hAnsi="Times New Roman" w:cs="Times New Roman"/>
          <w:b/>
          <w:sz w:val="24"/>
        </w:rPr>
        <w:t xml:space="preserve">19. </w:t>
      </w:r>
      <w:r>
        <w:rPr>
          <w:rFonts w:ascii="Times New Roman" w:hAnsi="Times New Roman" w:cs="Times New Roman"/>
          <w:lang w:val="tr-TR"/>
        </w:rPr>
        <w:t xml:space="preserve">1-b, 2-a, 3-ç, 4-c</w:t>
      </w:r>
    </w:p>
    <w:p>
      <w:pPr>
        <w:jc w:val="both"/>
      </w:pPr>
      <w:r>
        <w:rPr>
          <w:rFonts w:ascii="Times New Roman" w:hAnsi="Times New Roman" w:cs="Times New Roman"/>
          <w:b/>
          <w:sz w:val="24"/>
        </w:rPr>
        <w:t xml:space="preserve">20. </w:t>
      </w:r>
      <w:r>
        <w:rPr>
          <w:rFonts w:ascii="Times New Roman" w:hAnsi="Times New Roman" w:cs="Times New Roman"/>
          <w:lang w:val="tr-TR"/>
        </w:rPr>
        <w:t xml:space="preserve">Salma sulamaya göre: (800 − 360)/800 · 100 = %55. Damla sulamaya göre: (450 − 360)/450 · 100 = %20. Ürün/su: salma 6000/800 = 7,5 kg/m³; damla 6500/450 ≈ 14,4 kg/m³; yapay zekâ destekli 6600/360 ≈ 18,3 kg/m³.</w:t>
      </w:r>
    </w:p>
    <w:p>
      <w:pPr>
        <w:jc w:val="both"/>
      </w:pPr>
      <w:r>
        <w:rPr>
          <w:rFonts w:ascii="Times New Roman" w:hAnsi="Times New Roman" w:cs="Times New Roman"/>
          <w:b/>
          <w:sz w:val="24"/>
        </w:rPr>
        <w:t xml:space="preserve">21. </w:t>
      </w:r>
      <w:r>
        <w:rPr>
          <w:rFonts w:ascii="Times New Roman" w:hAnsi="Times New Roman" w:cs="Times New Roman"/>
          <w:lang w:val="tr-TR"/>
        </w:rPr>
        <w:t xml:space="preserve">Su tasarrufunun büyük kısmı damla sulamaya geçişten (800 → 450 m³) kaynaklanmaktadır; yapay zekâ destekli plan ek olarak %20 tasarruf sağlamıştır. Veriler tek bir kooperatifin tarlalarına aittir ve ovanın bütününü, yer altı suyu seviyesini göstermez. Ayrıca tasarruf edilen su yeni alanların sulanmasında kullanılırsa toplam su tüketimi azalmayabilir. Daha doğru ifade: “Yapay zekâ destekli sulama planı, kooperatifin tarlalarında damla sulamaya göre yaklaşık %20 daha az su kullanılarak aynı ya da biraz daha fazla ürün alınmasını sağlamıştır.”</w:t>
      </w:r>
    </w:p>
    <w:p>
      <w:pPr>
        <w:jc w:val="both"/>
      </w:pPr>
      <w:r>
        <w:rPr>
          <w:rFonts w:ascii="Times New Roman" w:hAnsi="Times New Roman" w:cs="Times New Roman"/>
          <w:b/>
          <w:sz w:val="24"/>
        </w:rPr>
        <w:t xml:space="preserve">22. </w:t>
      </w:r>
      <w:r>
        <w:rPr>
          <w:rFonts w:ascii="Times New Roman" w:hAnsi="Times New Roman" w:cs="Times New Roman"/>
          <w:lang w:val="tr-TR"/>
        </w:rPr>
        <w:t xml:space="preserve">C</w:t>
      </w:r>
    </w:p>
    <w:p>
      <w:pPr>
        <w:jc w:val="both"/>
      </w:pPr>
      <w:r>
        <w:rPr>
          <w:rFonts w:ascii="Times New Roman" w:hAnsi="Times New Roman" w:cs="Times New Roman"/>
          <w:b/>
          <w:sz w:val="24"/>
        </w:rPr>
        <w:t xml:space="preserve">23. </w:t>
      </w:r>
      <w:r>
        <w:rPr>
          <w:rFonts w:ascii="Times New Roman" w:hAnsi="Times New Roman" w:cs="Times New Roman"/>
          <w:lang w:val="tr-TR"/>
        </w:rPr>
        <w:t xml:space="preserve">Örnek: Sistem toprak ve bitki verilerinden hangi bölgeye ne kadar gübre gerektiğini belirlediği için gübre yalnızca gerektiği yerde ve gerektiği kadar kullanılır. Eğer fazla gübre kullanılmazsa, o hâlde akarsulara ve yer altı sularına taşınan gübre miktarı azalır; bu da temiz su ve sudaki yaşam amaçlarına katkı sağlar, çiftçinin gübre maliyetini de düşürür.</w:t>
      </w:r>
    </w:p>
    <w:p>
      <w:pPr>
        <w:jc w:val="both"/>
      </w:pPr>
      <w:r>
        <w:rPr>
          <w:rFonts w:ascii="Times New Roman" w:hAnsi="Times New Roman" w:cs="Times New Roman"/>
          <w:b/>
          <w:sz w:val="24"/>
        </w:rPr>
        <w:t xml:space="preserve">24. </w:t>
      </w:r>
      <w:r>
        <w:rPr>
          <w:rFonts w:ascii="Times New Roman" w:hAnsi="Times New Roman" w:cs="Times New Roman"/>
          <w:lang w:val="tr-TR"/>
        </w:rPr>
        <w:t xml:space="preserve">Endişe haklıdır; veriler kişisel ve ticari bilgiler içerir, izinsiz toplanması ya da başka amaçla kullanılması mahremiyeti tehdit eder. Örnek kurallar: Veriler yalnızca sulama planlaması için kullanılmalı ve çiftçinin izni olmadan üçüncü kişilerle paylaşılmamalı; çiftçi kendi verilerine erişebilmeli ve istediğinde silinmesini talep edebilmeli; verilerin nerede ve ne kadar süre saklanacağı açıkça belirtilmeli.</w:t>
      </w:r>
    </w:p>
    <w:p>
      <w:pPr>
        <w:jc w:val="both"/>
      </w:pPr>
      <w:r>
        <w:rPr>
          <w:rFonts w:ascii="Times New Roman" w:hAnsi="Times New Roman" w:cs="Times New Roman"/>
          <w:b/>
          <w:sz w:val="24"/>
        </w:rPr>
        <w:t xml:space="preserve">25. </w:t>
      </w:r>
      <w:r>
        <w:rPr>
          <w:rFonts w:ascii="Times New Roman" w:hAnsi="Times New Roman" w:cs="Times New Roman"/>
          <w:lang w:val="tr-TR"/>
        </w:rPr>
        <w:t xml:space="preserve">Başlık abartılıdır ve verilere dayanmamaktadır. Veri merkezlerinin tamamı 2024’te dünya elektriğinin yaklaşık %1,5’ini tüketmiştir; bu tüketimin yalnızca bir kısmı yapay zekâya aittir. 2030 öngörüsü de tüketimin iki katından fazla artacağını gösterir ancak “yarısı” düzeyine işaret etmez. Haberde kaynak belirtilmemesi güvenilirliğini azaltır. Bununla birlikte tüketimin hızla arttığı ve izlenmesi gerektiği doğrudur.</w:t>
      </w:r>
    </w:p>
    <w:p>
      <w:pPr>
        <w:jc w:val="both"/>
      </w:pPr>
      <w:r>
        <w:rPr>
          <w:rFonts w:ascii="Times New Roman" w:hAnsi="Times New Roman" w:cs="Times New Roman"/>
          <w:b/>
          <w:sz w:val="24"/>
        </w:rPr>
        <w:t xml:space="preserve">26. </w:t>
      </w:r>
      <w:r>
        <w:rPr>
          <w:rFonts w:ascii="Times New Roman" w:hAnsi="Times New Roman" w:cs="Times New Roman"/>
          <w:lang w:val="tr-TR"/>
        </w:rPr>
        <w:t xml:space="preserve">Toplam artış = 945 − 415 = 530 TWh; yıllık ortalama artış = 530/6 ≈ 88 TWh/yıl. Sınırlılık: 945 TWh bir senaryo öngörüsüdür, kesin bir ölçüm değildir; artış her yıl eşit olmayabilir, teknolojideki verimlilik gelişmeleri ve kullanım alışkanlıkları sonucu değiştirebilir.</w:t>
      </w:r>
    </w:p>
    <w:p>
      <w:pPr>
        <w:jc w:val="both"/>
      </w:pPr>
      <w:r>
        <w:rPr>
          <w:rFonts w:ascii="Times New Roman" w:hAnsi="Times New Roman" w:cs="Times New Roman"/>
          <w:b/>
          <w:sz w:val="24"/>
        </w:rPr>
        <w:t xml:space="preserve">27. </w:t>
      </w:r>
      <w:r>
        <w:rPr>
          <w:rFonts w:ascii="Times New Roman" w:hAnsi="Times New Roman" w:cs="Times New Roman"/>
          <w:lang w:val="tr-TR"/>
        </w:rPr>
        <w:t xml:space="preserve">1. Kanıta dayanıyor. 2. Kanıta dayanmıyor (veri merkezleri başka bilgi işlem hizmetleri için de çalışır). 3. Kanıta dayanmıyor (su miktarı bölgenin iklimine ve soğutma teknolojisine göre büyük farklılık gösterir). 4. Kanıta dayanıyor.</w:t>
      </w:r>
    </w:p>
    <w:p>
      <w:pPr>
        <w:jc w:val="both"/>
      </w:pPr>
      <w:r>
        <w:rPr>
          <w:rFonts w:ascii="Times New Roman" w:hAnsi="Times New Roman" w:cs="Times New Roman"/>
          <w:b/>
          <w:sz w:val="24"/>
        </w:rPr>
        <w:t xml:space="preserve">28. </w:t>
      </w:r>
      <w:r>
        <w:rPr>
          <w:rFonts w:ascii="Times New Roman" w:hAnsi="Times New Roman" w:cs="Times New Roman"/>
          <w:lang w:val="tr-TR"/>
        </w:rPr>
        <w:t xml:space="preserve">C</w:t>
      </w:r>
    </w:p>
    <w:p>
      <w:pPr>
        <w:jc w:val="both"/>
      </w:pPr>
      <w:r>
        <w:rPr>
          <w:rFonts w:ascii="Times New Roman" w:hAnsi="Times New Roman" w:cs="Times New Roman"/>
          <w:b/>
          <w:sz w:val="24"/>
        </w:rPr>
        <w:t xml:space="preserve">29. </w:t>
      </w:r>
      <w:r>
        <w:rPr>
          <w:rFonts w:ascii="Times New Roman" w:hAnsi="Times New Roman" w:cs="Times New Roman"/>
          <w:lang w:val="tr-TR"/>
        </w:rPr>
        <w:t xml:space="preserve">Öğrenci özgün metnini oluşturur. Değerlendirmede arkadaşın endişesinin anlaşılıp saygıyla karşılanması; veri merkezlerinin enerji, su ve donanım tüketiminin (IEA verileri) kabul edilmesi; akıllı sulama, enerji verimliliği, atık azaltma, yeşil kimyada daha az deneme gibi katkılarla dengelenmesi; etkinin kullanım amacına, kazanımın tüketilen kaynaklara oranına ve enerjinin kaynağına bağlı olduğu sonucuna ulaşılması aranır.</w:t>
      </w:r>
    </w:p>
    <w:p>
      <w:pPr>
        <w:jc w:val="both"/>
      </w:pPr>
      <w:r>
        <w:rPr>
          <w:rFonts w:ascii="Times New Roman" w:hAnsi="Times New Roman" w:cs="Times New Roman"/>
          <w:b/>
          <w:sz w:val="24"/>
        </w:rPr>
        <w:t xml:space="preserve">30. </w:t>
      </w:r>
      <w:r>
        <w:rPr>
          <w:rFonts w:ascii="Times New Roman" w:hAnsi="Times New Roman" w:cs="Times New Roman"/>
          <w:lang w:val="tr-TR"/>
        </w:rPr>
        <w:t xml:space="preserve">1-b, 2-c, 3-ç, 4-a</w:t>
      </w:r>
    </w:p>
    <w:p>
      <w:pPr>
        <w:jc w:val="both"/>
      </w:pPr>
      <w:r>
        <w:rPr>
          <w:rFonts w:ascii="Times New Roman" w:hAnsi="Times New Roman" w:cs="Times New Roman"/>
          <w:b/>
          <w:sz w:val="24"/>
        </w:rPr>
        <w:t xml:space="preserve">31. </w:t>
      </w:r>
      <w:r>
        <w:rPr>
          <w:rFonts w:ascii="Times New Roman" w:hAnsi="Times New Roman" w:cs="Times New Roman"/>
          <w:lang w:val="tr-TR"/>
        </w:rPr>
        <w:t xml:space="preserve">B - II</w:t>
      </w:r>
    </w:p>
    <w:p>
      <w:pPr>
        <w:jc w:val="both"/>
      </w:pPr>
      <w:r>
        <w:rPr>
          <w:rFonts w:ascii="Times New Roman" w:hAnsi="Times New Roman" w:cs="Times New Roman"/>
          <w:b/>
          <w:sz w:val="24"/>
        </w:rPr>
        <w:t xml:space="preserve">32. </w:t>
      </w:r>
      <w:r>
        <w:rPr>
          <w:rFonts w:ascii="Times New Roman" w:hAnsi="Times New Roman" w:cs="Times New Roman"/>
          <w:lang w:val="tr-TR"/>
        </w:rPr>
        <w:t xml:space="preserve">Gelen ışığın gücü = 200 W/m² · 6,0 m² = 1200 W. Elde edilen elektrik gücü = 1200 · (8/100) = 96 W &gt; 60 W; paneller ihtiyacı karşılar. En küçük alan = 60 W / (200 W/m² · 0,08) = 3,75 m².</w:t>
      </w:r>
    </w:p>
    <w:p>
      <w:pPr>
        <w:jc w:val="both"/>
      </w:pPr>
      <w:r>
        <w:rPr>
          <w:rFonts w:ascii="Times New Roman" w:hAnsi="Times New Roman" w:cs="Times New Roman"/>
          <w:b/>
          <w:sz w:val="24"/>
        </w:rPr>
        <w:t xml:space="preserve">33. </w:t>
      </w:r>
      <w:r>
        <w:rPr>
          <w:rFonts w:ascii="Times New Roman" w:hAnsi="Times New Roman" w:cs="Times New Roman"/>
          <w:lang w:val="tr-TR"/>
        </w:rPr>
        <w:t xml:space="preserve">Güçlü güneş ışığında silisyumun verimi yüksektir; ancak gölgeli duraklarda ışık dağınık ve düşüktür, boyaya duyarlı paneller düşük ışıkta verimini büyük ölçüde korur ve geliş açısından az etkilenir. Üretimleri 1400 °C yerine 450-500 °C’de, basit yöntemlerle yapıldığı için daha az enerji gerektirir (enerji verimliliği için tasarım). Renkli ve yarı saydam oldukları için durağın gölgelik işlevine ve görünümüne uygundur. Sınırlılık: sıvı elektrolitin buharlaşması ya da sızması ömrü kısaltır; rutenyum ve platin nadir ve pahalıdır. Öneri: katı ya da jel elektrolit, rutenyum içermeyen organik boyalar, platin yerine karbon temelli karşı elektrot kullanılması.</w:t>
      </w:r>
    </w:p>
    <w:p>
      <w:pPr>
        <w:jc w:val="both"/>
      </w:pPr>
      <w:r>
        <w:rPr>
          <w:rFonts w:ascii="Times New Roman" w:hAnsi="Times New Roman" w:cs="Times New Roman"/>
          <w:b/>
          <w:sz w:val="24"/>
        </w:rPr>
        <w:t xml:space="preserve">34. </w:t>
      </w:r>
      <w:r>
        <w:rPr>
          <w:rFonts w:ascii="Times New Roman" w:hAnsi="Times New Roman" w:cs="Times New Roman"/>
          <w:lang w:val="tr-TR"/>
        </w:rPr>
        <w:t xml:space="preserve">Beklenen yarar tam olarak sağlanmaz. Kompostlanabilir poşetler (ör. PLA) sıcaklığı ve nemi yüksek, oksijenli endüstriyel kompost ortamında hızla bozunur; depolama alanında yavaş bozunur ve oksijensiz ortamda bozunurken sera gazı olan metan oluşabilir. Poşetler ve organik atıklar ayrı toplanarak endüstriyel kompost tesisine gönderilmeli, oluşan kompost tarımda kullanılmalıdır.</w:t>
      </w:r>
    </w:p>
    <w:p>
      <w:pPr>
        <w:jc w:val="both"/>
      </w:pPr>
      <w:r>
        <w:rPr>
          <w:rFonts w:ascii="Times New Roman" w:hAnsi="Times New Roman" w:cs="Times New Roman"/>
          <w:b/>
          <w:sz w:val="24"/>
        </w:rPr>
        <w:t xml:space="preserve">35. </w:t>
      </w:r>
      <w:r>
        <w:rPr>
          <w:rFonts w:ascii="Times New Roman" w:hAnsi="Times New Roman" w:cs="Times New Roman"/>
          <w:lang w:val="tr-TR"/>
        </w:rPr>
        <w:t xml:space="preserve">Katkı: Boş ya da az yolculu seferlerin azalması ve yoğun saatlere göre planlama yapılmasıyla yakıt tüketiminin ve egzoz emisyonlarının azalması; toplu taşımanın daha çekici hâle gelmesi. Riskler: yolcu kartı verilerindeki konum ve yolculuk bilgilerinin mahremiyeti; eksik ya da dengesiz verilerle bazı mahallelerin daha az hizmet alması; programın çalıştığı sunucuların enerji ve donanım ihtiyacı.</w:t>
      </w:r>
    </w:p>
    <w:p>
      <w:pPr>
        <w:jc w:val="both"/>
      </w:pPr>
      <w:r>
        <w:rPr>
          <w:rFonts w:ascii="Times New Roman" w:hAnsi="Times New Roman" w:cs="Times New Roman"/>
          <w:b/>
          <w:sz w:val="24"/>
        </w:rPr>
        <w:t xml:space="preserve">36. </w:t>
      </w:r>
      <w:r>
        <w:rPr>
          <w:rFonts w:ascii="Times New Roman" w:hAnsi="Times New Roman" w:cs="Times New Roman"/>
          <w:lang w:val="tr-TR"/>
        </w:rPr>
        <w:t xml:space="preserve">Öğrenci özgün kararını oluşturur. Örnek: II. seçenek tercih edilebilir; çünkü kompost tesisi olmadan kompostlanabilir poşetlerden beklenen yarar sağlanamaz, organik atıklar da değerlendirilerek depolama alanına giden atık ve metan oluşumu azalır. Değerlendirmede tüm ölçütlerin dikkate alınması, seçeneklerin üstünlük ve sınırlılıklarının karşılaştırılması ve kararın kanıtlarla tutarlı biçimde gerekçelendirilmesi aranır.</w:t>
      </w:r>
    </w:p>
    <w:p>
      <w:pPr>
        <w:jc w:val="both"/>
      </w:pPr>
      <w:r>
        <w:rPr>
          <w:rFonts w:ascii="Times New Roman" w:hAnsi="Times New Roman" w:cs="Times New Roman"/>
          <w:b/>
          <w:sz w:val="24"/>
        </w:rPr>
        <w:t xml:space="preserve">37. </w:t>
      </w:r>
      <w:r>
        <w:rPr>
          <w:rFonts w:ascii="Times New Roman" w:hAnsi="Times New Roman" w:cs="Times New Roman"/>
          <w:lang w:val="tr-TR"/>
        </w:rPr>
        <w:t xml:space="preserve">a) plastikleştirici  b) biyobozunur polimer  c) doluluk faktörü  ç) nanopolimer  d) makine öğrenmesi (fazla kavram: biyopolimer)</w:t>
      </w:r>
    </w:p>
    <w:p>
      <w:pPr>
        <w:jc w:val="both"/>
      </w:pPr>
      <w:r>
        <w:rPr>
          <w:rFonts w:ascii="Times New Roman" w:hAnsi="Times New Roman" w:cs="Times New Roman"/>
          <w:b/>
          <w:sz w:val="24"/>
        </w:rPr>
        <w:t xml:space="preserve">38. </w:t>
      </w:r>
      <w:r>
        <w:rPr>
          <w:rFonts w:ascii="Times New Roman" w:hAnsi="Times New Roman" w:cs="Times New Roman"/>
          <w:lang w:val="tr-TR"/>
        </w:rPr>
        <w:t xml:space="preserve">Örnek hipotez: Boya çözeltisine eklenen gümüş nanoparçacık miktarı belirli bir değere kadar arttıkça hücrenin verimi artar. Bağımsız: eklenen gümüş nanoparçacık miktarı (ör. 0, 1, 2, 4 mL). Bağımlı: hücrenin verimi (en yüksek güç). Kontrol: boya türü ve miktarı, TiO</w:t>
      </w:r>
      <w:r>
        <w:rPr>
          <w:rFonts w:ascii="Times New Roman" w:hAnsi="Times New Roman" w:cs="Times New Roman"/>
          <w:vertAlign w:val="subscript"/>
          <w:lang w:val="tr-TR"/>
        </w:rPr>
        <w:t xml:space="preserve">2</w:t>
      </w:r>
      <w:r>
        <w:rPr>
          <w:rFonts w:ascii="Times New Roman" w:hAnsi="Times New Roman" w:cs="Times New Roman"/>
          <w:lang w:val="tr-TR"/>
        </w:rPr>
        <w:t xml:space="preserve"> katmanı, bekletme süresi, elektrolit, hücre alanı, ışık gücü ve uzaklığı, sıcaklık. Aynı yöntemle hazırlanan hücrelerin en yüksek güç noktasındaki gerilim ve akımı multimetreyle ölçülür, verim hesaplanır; nanoparçacık eklenmemiş hücre kontrol grubu olarak kullanılır ve her ölçüm en az üç kez tekrarlanır.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