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BC387" w14:textId="0456B60A"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Ölçme Değerlendirme Formları</w:t>
      </w:r>
    </w:p>
    <w:p w14:paraId="26CF931F" w14:textId="77777777" w:rsidR="00C21264" w:rsidRDefault="00C21264" w:rsidP="001B096C">
      <w:pPr>
        <w:jc w:val="both"/>
        <w:rPr>
          <w:rFonts w:ascii="Times New Roman" w:hAnsi="Times New Roman" w:cs="Times New Roman"/>
          <w:lang w:val="tr-TR"/>
        </w:rPr>
      </w:pPr>
    </w:p>
    <w:tbl>
      <w:tblPr>
        <w:tblStyle w:val="TableGrid"/>
        <w:tblW w:w="0" w:type="auto"/>
        <w:tblLook w:val="04A0" w:firstRow="1" w:lastRow="0" w:firstColumn="1" w:lastColumn="0" w:noHBand="0" w:noVBand="1"/>
      </w:tblPr>
      <w:tblGrid>
        <w:gridCol w:w="1117"/>
        <w:gridCol w:w="1150"/>
        <w:gridCol w:w="5618"/>
        <w:gridCol w:w="1465"/>
      </w:tblGrid>
      <w:tr w:rsidR="008C7778" w14:paraId="13C428E5" w14:textId="77777777" w:rsidTr="001B096C">
        <w:tc>
          <w:tcPr>
            <w:tcW w:w="1117" w:type="dxa"/>
          </w:tcPr>
          <w:p w14:paraId="3917A3B5" w14:textId="279DD209"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Ünite</w:t>
            </w:r>
          </w:p>
        </w:tc>
        <w:tc>
          <w:tcPr>
            <w:tcW w:w="1150" w:type="dxa"/>
          </w:tcPr>
          <w:p w14:paraId="5AF02E7E" w14:textId="52294DFB"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Kazanım</w:t>
            </w:r>
          </w:p>
        </w:tc>
        <w:tc>
          <w:tcPr>
            <w:tcW w:w="5618" w:type="dxa"/>
          </w:tcPr>
          <w:p w14:paraId="4B348C83" w14:textId="0D474DEC" w:rsidR="00C21264" w:rsidRPr="00C21264" w:rsidRDefault="00C21264" w:rsidP="001B096C">
            <w:pPr>
              <w:jc w:val="both"/>
              <w:rPr>
                <w:rFonts w:ascii="Times New Roman" w:hAnsi="Times New Roman" w:cs="Times New Roman"/>
                <w:b/>
                <w:bCs/>
                <w:lang w:val="tr-TR"/>
              </w:rPr>
            </w:pPr>
            <w:r w:rsidRPr="00C21264">
              <w:rPr>
                <w:rFonts w:ascii="Times New Roman" w:hAnsi="Times New Roman" w:cs="Times New Roman"/>
                <w:b/>
                <w:bCs/>
                <w:lang w:val="tr-TR"/>
              </w:rPr>
              <w:t>MEB Açıklama</w:t>
            </w:r>
          </w:p>
        </w:tc>
        <w:tc>
          <w:tcPr>
            <w:tcW w:w="1465" w:type="dxa"/>
          </w:tcPr>
          <w:p w14:paraId="39FF5748" w14:textId="49750142" w:rsidR="00C21264" w:rsidRPr="00C21264" w:rsidRDefault="00706CE1" w:rsidP="001B096C">
            <w:pPr>
              <w:jc w:val="both"/>
              <w:rPr>
                <w:rFonts w:ascii="Times New Roman" w:hAnsi="Times New Roman" w:cs="Times New Roman"/>
                <w:b/>
                <w:bCs/>
                <w:lang w:val="tr-TR"/>
              </w:rPr>
            </w:pPr>
            <w:r>
              <w:rPr>
                <w:rFonts w:ascii="Times New Roman" w:hAnsi="Times New Roman" w:cs="Times New Roman"/>
                <w:b/>
                <w:bCs/>
                <w:lang w:val="tr-TR"/>
              </w:rPr>
              <w:t>Açıklama</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12.1.1.</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Etkinlik kâğıtları “tepkime göstergelerini belirleyebilme, verileri toplayıp kaydedebilme, tepkime sürecini tanecik modeliyle çizerek açıklayabilme” ölçütlerini içeren dereceli puanlama anahtarı ile hem öğretmen hem de öğrenci tarafından değerlendirilebilir. Hazırlanan öz değerlendirme formu ile öğrenci kendi öğrenme sürecini değerlendirebilir (SDB1.2, SDB1.3).</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Kim12.1.1’e Dereceli Puanlama Anahtarı (öğretmen ve öğrenci kullanımı) ve Öz Değerlendirme Formu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12.1.2.</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Etkinlik kâğıtları “araştırma sorusu oluşturabilme, model geliştirebilme, araştırma gerçekleştirebilme, araştırma verilerini yorumlayabilme, verilere dayalı olarak metallerin aktifliklerine ilişkin sıralama yapabilme ve açıklamalarını bilimsel bilgilerle karşılaştırabilme” ölçütlerini içeren dereceli puanlama anahtarı ile hem öğretmen hem de öğrenci tarafından değerlendirilebilir (SDB1.2).</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Kim12.1.2’ye Dereceli Puanlama Anahtarı (öğretmen ve öğrenci kullanımı)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12.1.3.</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Etkinlik kâğıtları, “öğrencinin önerme oluşturabilme ve tanımlama yapabilme” ölçütlerini içeren dereceli puanlama anahtarı ile öğretmen tarafından değerlendirilebilir veya öğrenciden öz değerlendirme yapması istenebilir (SDB1.2).</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Kim12.1.3’e Dereceli Puanlama Anahtarı ve Öz Değerlendirme Formu konuldu; galvanik hücre bileşenlerini tanımlayan metin yazma ve sınıf içi tartışma etkinliğe eklendi.</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12.1.4.</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Öğrencilerden çalışma yaprağında verilen elektrokimyasal hücrelerin standart potansiyellerinin hesaplanması ve net tepkimenin istemli olup olmadığını belirlemesi istenebilir.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Kim12.1.4’te Analiz ve Keşif Atölyesi 3. Aşama (tepkimelere ait gözlemler tablosu) ve Sıra Sizde 1.4. çalışma yaprağı işlevinde kullanıldı; e-içerikte soru türleri hazırlandı.</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12.1.5.</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Sürecin bütünü “deney adımlarının takip edilerek galvanik hücrelerin potansiyeline etki eden faktörlerin belirlenebilmesi ve bu faktörlerin Le Chatelier ilkesi ile ilişkilendirerek açıklanabilmesi” ölçütlerini içeren dereceli puanlama anahtarı ile değerlendirilebilir. Ayrıca öz değerlendirme formu (SDB1.2, SDB1.3).</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Kim12.1.5’e Ön Bilgi ve Hedef Belirleme Formu, Dereceli Puanlama Anahtarı ve Öz Değerlendirme Formu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12.1.6.</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Öğrencilerden çeşitli endüstrilerde ve günlük hayatta elektrolitik hücre prensibi ile çalışan sistemlere ilişkin örnekler araştırmaları ... Elektrolitik ve galvanik hücrelerin ortak ve farklı özelliklerini gösteren bir Venn diyagramı hazırlamaları da istenebilir.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Kim12.1.6, Analiz ve Keşif Atölyesi 1.6.’nın 6. Aşamasına Venn şeması ve araştırma görevi konuldu; bilgi metninde Tablo A ile karşılaştırma yapıldı.</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12.1.7.</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Çıkış kartında elektroliz olayında değişime uğrayan madde miktarı ile akım miktarı ve elektroliz süresi arasındaki ilişkiyi açıklamaları öğrencilerden istenebilir.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Kim12.1.7’ye Çıkış Kartı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12.1.8.</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Sürecin bütünü “kaplama kalınlığının bağlı olduğu etkenleri belirleme, anot ve katot yarı tepkimelerini ve net tepkimeyi yazabilme, deney bulguları ile Faraday elektroliz yasasını ilişkilendirebilme” ölçütlerini içeren dereceli puanlama anahtarı ile hem öğretmen hem de öğrenci tarafından değerlendirilebilir (SDB1.2).</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Kim12.1.8’e DPA konuldu (öğretmen ve öğrenci tarafından kullanılacak); deney raporu yazdırıldı.</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Tema-1</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Tema geneli (12.1.9.)</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Öğrencilerden performans görevi çerçevesinde farklı metallerin korozyona uğramış örneklerini inceleyerek korozyona sebep olan faktörlere ilişkin araştırma sorusu oluşturmaları ve korozyonu önlemek için çözüm önerileri belirlemeleri istenebilir ... dereceli puanlama anahtarı ile değerlendirilebilir.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Kim12.1.9’a Performans Görevi ve Performans Görevi DPA’sı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12.2.1.</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Bu temanın öğrenme kanıtlarında ve öğrenme-öğretme uygulamalarında çalışma yaprağı, etkinlik kâğıdı, yapılandırılmış grid, performans görevi, Venn diyagramı ve öz değerlendirme formu kullanılabilir.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Kim12.2.1’e Öz Değerlendirme Formu konuldu; çalışma yaprağı niteliğindeki sigma-pi bağı sayma soruları Sıra Sizde 2.1.’de (1. soru) tablo olarak verildi.</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12.2.2.</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Öğrencilerden çalışma yaprağında verilen farklı moleküllerin merkez atomlarının yaptığı hibrit türlerini belirlemeleri istenebilir.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Kim12.2.2’ye Analiz ve Keşif Atölyesi 2.2. için Dereceli Puanlama Anahtarı konuldu; çalışma yaprağı Sıra Sizde 2.2.’de (2. soru) tablo olarak verildi.</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12.2.3.</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Performans görevi çerçevesinde öğrencilerden verilen çeşitli molekülleri farklı materyaller kullanarak modellemeleri istenebilir. Performans görevi “uygun materyal seçme, molekül geometrilerini belirleme, kendi modelinin bilimsel modele uygunluğu” ölçütlerini içeren dereceli puanlama anahtarı ile değerlendirilebilir.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Kim12.2.3’e Performans Görevi ve Performans Görevi DPA’sı ile Analiz ve Keşif Atölyesi 2.3. için Öz Değerlendirme Formu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12.2.4.</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Etkinlik kâğıtları, “örüntü oluşturabilme ve örüntüler üzerinden genelleme yapabilme” ölçütlerini içeren dereceli puanlama anahtarı ile hem öğretmen hem öğrenci tarafından değerlendirilebilir (SDB1.2).</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Kim12.2.4’e Analiz ve Keşif Atölyesi 2.4. için Dereceli Puanlama Anahtarı konuldu; öğrencinin aynı anahtarla öz değerlendirme yapması etkinlikte istendi. Çalışma yaprağı niteliğindeki formül yazma soruları Sıra Sizde 2.4.’te (1. ve 2. soru) verildi.</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12.2.5.</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Yapılandırılmış grid ile öğrencilerden verilen çeşitli hidrokarbonları alifatik (alkan, alken, alkin ve halkalı) ve aromatik hidrokarbonlar olarak sınıflandırmaları istenebilir.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Kim12.2.5’te Sıra Sizde 2.5.’in 1. sorusu yapılandırılmış grid olarak hazırlandı; Analiz ve Keşif Atölyesi 2.5. için Öz Değerlendirme Formu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12.2.6.</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Etkinlik kâğıtları, “alifatik hidrokarbonların sistematik adlandırılmasına yönelik örüntü oluşturabilme, genellemeye ulaşabilme” ölçütlerini içeren dereceli puanlama anahtarı ile hem öğretmen hem öğrenci tarafından değerlendirilebilir (SDB1.2).</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Kim12.2.6’ya Analiz ve Keşif Atölyesi 2.6. için Dereceli Puanlama Anahtarı konuldu; öğrencinin aynı anahtarla öz değerlendirme yapması etkinlikte istendi.</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12.2.7.</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Performans görevi çerçevesinde öğrencilerden seçtiği alifatik hidrokarbonların izomerlerini farklı materyaller kullanarak modellemeleri istenebilir. Performans görevi “uygun materyal seçme, izomerleri belirleme, model oluşturma, kendi modelinin bilimsel modele uygunluğu” ölçütlerini içeren dereceli puanlama anahtarı ile değerlendirilebilir. Yapılandırılmış grid ile öğrencilerden farklı alifatik hidrokarbon örneklerinin izomerliklerini belirlemeleri istenebilir.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Kim12.2.7’ye Performans Görevi ve DPA’sı konuldu; Sıra Sizde 2.7.’de yapılandırılmış grid kullanıldı.</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12.2.8.</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Venn diyagramı üzerinde alifatik hidrokarbonların fiziksel ve kimyasal özelliklerinin benzerlik ve farklılıklarının listelenmesi de istenebilir. (Tema geneli: öz değerlendirme formu kullanılabilir.)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Kim12.2.8’de Analiz ve Keşif Atölyesi 2.8.’e Venn şeması ve Öz Değerlendirme Formu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12.2.9.</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Yapılandırılmış grid ile öğrencilerden farklı organik bileşikleri fonksiyonel gruplarına göre sınıflandırmaları istenebilir.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Kim12.2.9’da Sıra Sizde 2.9.’a yapılandırılmış grid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12.2.10.</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Etkinlik kâğıtları “fonksiyonel gruba sahip organik bileşiklerin fonksiyonel grubu, ana zinciri ve yan gruplarını belirleyebilme; organik bileşiklerin fonksiyonel grubu ile bileşiğin sistematik adı arasında ilişki kurabilme ve organik bileşiklerin sistematik adlandırılma kurallarına ilişkin genelleme yapabilme” ölçütlerini içeren dereceli puanlama anahtarı ile öğretmen tarafından değerlendirilebilir veya öğrenciden öz değerlendirme yapması istenebilir (SDB1.2, SDB1.3).</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Kim12.2.10’a Analiz ve Keşif Atölyesi 2.10. için DPA ve Öz Değerlendirme Formu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12.2.10.</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Öğrencilerden çalışma yaprağında verilen çeşitli alkol, eter, aldehit, keton, karboksilik asit, ester bileşiklerinin IUPAC sistemine göre adlarını belirlemeleri istenebilir.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Kim12.2.10 Sıra Sizde 2.10. (1., 2. ve 6. sorular) bu amaçla hazırlandı.</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12.2.11.</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Öğrencilerden çalışma yaprağında verilen kapalı formülleri aynı olan bileşikler için fonksiyonel grubu farklı olan modeller önermeleri istenebilir. … bu bileşiklerin insana ve çevreye olumlu ve olumsuz etkilerini belirlemeleri … üzerine bir rapor yazmaları istenebilir (SDB1.1, SDB1.3, SDB2.3, SDB3.3, OB8).</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Kim12.2.11’de Analiz ve Keşif Atölyesi 2.11. 5. aşama ve Sıra Sizde 2.11. (2. ve 3. sorular) model önerme; Tartışma ve Paylaşım Atölyesi’nde rapor görevi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Tema-2</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12.2.12.</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Öğrencilerden performans görevi çerçevesinde farklı fosil yakıtların kullanımıyla ortaya çıkan enerji miktarını ve sera gazlarını araştırarak bunların çevreye olan etkilerini belirlemeleri ve sürdürülebilir bir çevre için hangi fosil yakıtın kullanılması gerektiği çıkarımını yapmaları istenebilir. Performans görevi “fosil yakıtların açığa çıkardığı enerji miktarını, açığa çıkan sera gazları türünü ve miktarını, hava kirliliği ve asit yağmuruna neden olma potansiyelini, emisyon ayak izini belirleme, en uygun fosil yakıta karar verebilme” ölçütlerini içeren dereceli puanlama anahtarı ile değerlendirilebilir.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Kim12.2.12’ye Performans Görevi ve DPA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12.3.1.</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Etkinlik kâğıtları “nitelik belirleyebilme, verimliliğe ilişkin çıkarım ve değerlendirme yapabilme” ölçütlerini içeren dereceli puanlama anahtarı ile öğretmen veya öğrenci tarafından değerlendirilebilir (SDB1.2, OB8). ... Öğrencilerin grup çalışmalarına katkılarını belirlemek amacıyla akran değerlendirme formu kullanılabilir.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Kim12.3.1’e etkinlik kâğıdı DPA’sı ve Akran Değerlendirme Formu konuldu.</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12.3.2.</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Performans görevi “amaç belirleyebilme, bilgi toplayabilme, seçim yapabilme, seçenekler oluşturabilme, kullanacağı malzemeye ilişkin mantıksal denetleme yapabilme ve yansıtma yapabilme” ölçütlerini içeren bir dereceli puanlama anahtarı ile değerlendirilebilir.</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Kim12.3.2’ye Performans Görevi ve DPA konuldu; ayrıca Yansıtma Notu (SDB1.2) eklendi.</w:t>
            </w:r>
          </w:p>
        </w:tc>
      </w:tr>
      <w:tr w:rsidR="008C7778" w14:paraId="6AC871AD" w14:textId="77777777" w:rsidTr="00314FF0">
        <w:tc>
          <w:tcPr>
            <w:tcW w:w="1117" w:type="dxa"/>
            <w:shd w:val="clear" w:color="auto" w:fill="FFC000"/>
          </w:tcPr>
          <w:p w14:paraId="67619475" w14:textId="7553289A" w:rsidR="00C21264" w:rsidRDefault="00332EE4" w:rsidP="001B096C">
            <w:pPr>
              <w:jc w:val="both"/>
              <w:rPr>
                <w:rFonts w:ascii="Times New Roman" w:hAnsi="Times New Roman" w:cs="Times New Roman"/>
                <w:lang w:val="tr-TR"/>
              </w:rPr>
            </w:pPr>
            <w:r>
              <w:rPr>
                <w:rFonts w:ascii="Times New Roman" w:hAnsi="Times New Roman" w:cs="Times New Roman"/>
                <w:lang w:val="tr-TR"/>
              </w:rPr>
              <w:t>Tema-3</w:t>
            </w:r>
          </w:p>
        </w:tc>
        <w:tc>
          <w:tcPr>
            <w:tcW w:w="1150" w:type="dxa"/>
            <w:shd w:val="clear" w:color="auto" w:fill="FFC000"/>
          </w:tcPr>
          <w:p w14:paraId="25894058" w14:textId="1A059905" w:rsidR="00C21264" w:rsidRDefault="00332EE4" w:rsidP="001B096C">
            <w:pPr>
              <w:jc w:val="both"/>
              <w:rPr>
                <w:rFonts w:ascii="Times New Roman" w:hAnsi="Times New Roman" w:cs="Times New Roman"/>
                <w:lang w:val="tr-TR"/>
              </w:rPr>
            </w:pPr>
            <w:r>
              <w:rPr>
                <w:rFonts w:ascii="Times New Roman" w:hAnsi="Times New Roman" w:cs="Times New Roman"/>
                <w:lang w:val="tr-TR"/>
              </w:rPr>
              <w:t>12.3.3.</w:t>
            </w:r>
          </w:p>
        </w:tc>
        <w:tc>
          <w:tcPr>
            <w:tcW w:w="5618" w:type="dxa"/>
            <w:shd w:val="clear" w:color="auto" w:fill="FFC000"/>
          </w:tcPr>
          <w:p w14:paraId="1D7642C4" w14:textId="3DB767F5" w:rsidR="00C21264" w:rsidRDefault="00C21264" w:rsidP="00630716">
            <w:pPr>
              <w:jc w:val="both"/>
              <w:rPr>
                <w:rFonts w:ascii="Times New Roman" w:hAnsi="Times New Roman" w:cs="Times New Roman"/>
                <w:lang w:val="tr-TR"/>
              </w:rPr>
            </w:pPr>
            <w:r>
              <w:rPr>
                <w:rFonts w:ascii="Times New Roman" w:hAnsi="Times New Roman"/>
              </w:rPr>
              <w:t>Bu temanın öğrenme kanıtlarında ve öğrenme-öğretme uygulamalarında etkinlik kâğıdı, performans görevi, sınıf içi tartışma ve yansıtma notu kullanılabilir. ... ulaştığı çıkarımlar üzerine yansıtma notu yazmaları istenebilir (OB8).</w:t>
            </w:r>
          </w:p>
        </w:tc>
        <w:tc>
          <w:tcPr>
            <w:tcW w:w="1465" w:type="dxa"/>
            <w:shd w:val="clear" w:color="auto" w:fill="FFC000"/>
          </w:tcPr>
          <w:p w14:paraId="5CEC2807" w14:textId="4A88D1C9" w:rsidR="00C21264" w:rsidRDefault="003A107F" w:rsidP="001B096C">
            <w:pPr>
              <w:jc w:val="both"/>
              <w:rPr>
                <w:rFonts w:ascii="Times New Roman" w:hAnsi="Times New Roman" w:cs="Times New Roman"/>
                <w:lang w:val="tr-TR"/>
              </w:rPr>
            </w:pPr>
            <w:r>
              <w:rPr>
                <w:rFonts w:ascii="Times New Roman" w:hAnsi="Times New Roman" w:cs="Times New Roman"/>
                <w:lang w:val="tr-TR"/>
              </w:rPr>
              <w:t>Kim12.3.3’e ders öncesi/sonrası Yansıtma Notu konuldu.</w:t>
            </w:r>
          </w:p>
        </w:tc>
      </w:tr>
    </w:tbl>
    <w:p w14:paraId="6BBC482A" w14:textId="77777777" w:rsidR="00C21264" w:rsidRPr="00C21264" w:rsidRDefault="00C21264" w:rsidP="001B096C">
      <w:pPr>
        <w:jc w:val="both"/>
        <w:rPr>
          <w:rFonts w:ascii="Times New Roman" w:hAnsi="Times New Roman" w:cs="Times New Roman"/>
          <w:lang w:val="tr-TR"/>
        </w:rPr>
      </w:pPr>
    </w:p>
    <w:sectPr w:rsidR="00C21264" w:rsidRPr="00C2126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7D355B"/>
    <w:multiLevelType w:val="hybridMultilevel"/>
    <w:tmpl w:val="78F278E8"/>
    <w:lvl w:ilvl="0" w:tplc="443E5FD8">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B4B5A31"/>
    <w:multiLevelType w:val="hybridMultilevel"/>
    <w:tmpl w:val="F76206D0"/>
    <w:lvl w:ilvl="0" w:tplc="673CFAF4">
      <w:start w:val="9"/>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51A535E"/>
    <w:multiLevelType w:val="hybridMultilevel"/>
    <w:tmpl w:val="8D5C6852"/>
    <w:lvl w:ilvl="0" w:tplc="161464A6">
      <w:start w:val="1"/>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30503221">
    <w:abstractNumId w:val="1"/>
  </w:num>
  <w:num w:numId="2" w16cid:durableId="1930307597">
    <w:abstractNumId w:val="0"/>
  </w:num>
  <w:num w:numId="3" w16cid:durableId="19528603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1264"/>
    <w:rsid w:val="00022B81"/>
    <w:rsid w:val="0005220E"/>
    <w:rsid w:val="000537DF"/>
    <w:rsid w:val="00090109"/>
    <w:rsid w:val="0009630D"/>
    <w:rsid w:val="000B0E4C"/>
    <w:rsid w:val="00103A6E"/>
    <w:rsid w:val="00104EE1"/>
    <w:rsid w:val="00107C8F"/>
    <w:rsid w:val="00144C25"/>
    <w:rsid w:val="001959BD"/>
    <w:rsid w:val="001B096C"/>
    <w:rsid w:val="001B1E9C"/>
    <w:rsid w:val="001B38D5"/>
    <w:rsid w:val="00221DB9"/>
    <w:rsid w:val="002357E2"/>
    <w:rsid w:val="00241A7C"/>
    <w:rsid w:val="00245194"/>
    <w:rsid w:val="00246A0F"/>
    <w:rsid w:val="00267D7B"/>
    <w:rsid w:val="00270267"/>
    <w:rsid w:val="002874AF"/>
    <w:rsid w:val="002E67B2"/>
    <w:rsid w:val="00301B27"/>
    <w:rsid w:val="00314828"/>
    <w:rsid w:val="00314FF0"/>
    <w:rsid w:val="0032265D"/>
    <w:rsid w:val="00332EE4"/>
    <w:rsid w:val="00340714"/>
    <w:rsid w:val="00350084"/>
    <w:rsid w:val="003766E3"/>
    <w:rsid w:val="003937EB"/>
    <w:rsid w:val="003A107F"/>
    <w:rsid w:val="003B0F26"/>
    <w:rsid w:val="00413802"/>
    <w:rsid w:val="0044064D"/>
    <w:rsid w:val="00456922"/>
    <w:rsid w:val="004B0449"/>
    <w:rsid w:val="004B5F62"/>
    <w:rsid w:val="004D19B8"/>
    <w:rsid w:val="004D7036"/>
    <w:rsid w:val="004F1377"/>
    <w:rsid w:val="00501789"/>
    <w:rsid w:val="0051776C"/>
    <w:rsid w:val="00541C3E"/>
    <w:rsid w:val="00554099"/>
    <w:rsid w:val="00566788"/>
    <w:rsid w:val="00594B38"/>
    <w:rsid w:val="005A0226"/>
    <w:rsid w:val="005B71E8"/>
    <w:rsid w:val="005D543E"/>
    <w:rsid w:val="00602E78"/>
    <w:rsid w:val="00606EF3"/>
    <w:rsid w:val="00607D0A"/>
    <w:rsid w:val="00630716"/>
    <w:rsid w:val="0065383B"/>
    <w:rsid w:val="0067736B"/>
    <w:rsid w:val="0069009E"/>
    <w:rsid w:val="006C7A5B"/>
    <w:rsid w:val="00706CE1"/>
    <w:rsid w:val="00727E71"/>
    <w:rsid w:val="00741751"/>
    <w:rsid w:val="007D5BFD"/>
    <w:rsid w:val="007E5684"/>
    <w:rsid w:val="00803D9F"/>
    <w:rsid w:val="008061CF"/>
    <w:rsid w:val="0081604F"/>
    <w:rsid w:val="008179E4"/>
    <w:rsid w:val="00830E8F"/>
    <w:rsid w:val="0089531F"/>
    <w:rsid w:val="008C7778"/>
    <w:rsid w:val="009578C9"/>
    <w:rsid w:val="00967E55"/>
    <w:rsid w:val="009720A8"/>
    <w:rsid w:val="009B2523"/>
    <w:rsid w:val="009B422B"/>
    <w:rsid w:val="00A012E5"/>
    <w:rsid w:val="00A04A6F"/>
    <w:rsid w:val="00A07605"/>
    <w:rsid w:val="00A14131"/>
    <w:rsid w:val="00A577F2"/>
    <w:rsid w:val="00A70A0C"/>
    <w:rsid w:val="00A97A0C"/>
    <w:rsid w:val="00AA7596"/>
    <w:rsid w:val="00AE417D"/>
    <w:rsid w:val="00AF32A2"/>
    <w:rsid w:val="00B07F46"/>
    <w:rsid w:val="00B74187"/>
    <w:rsid w:val="00B7758F"/>
    <w:rsid w:val="00B868EE"/>
    <w:rsid w:val="00BA70CD"/>
    <w:rsid w:val="00C00E7B"/>
    <w:rsid w:val="00C06B28"/>
    <w:rsid w:val="00C21264"/>
    <w:rsid w:val="00C317FD"/>
    <w:rsid w:val="00C53C97"/>
    <w:rsid w:val="00C721D9"/>
    <w:rsid w:val="00C731CC"/>
    <w:rsid w:val="00C86C38"/>
    <w:rsid w:val="00CA50AC"/>
    <w:rsid w:val="00CE39D3"/>
    <w:rsid w:val="00CE7DA6"/>
    <w:rsid w:val="00CF69D4"/>
    <w:rsid w:val="00D026A9"/>
    <w:rsid w:val="00D37BA4"/>
    <w:rsid w:val="00D6590D"/>
    <w:rsid w:val="00DA3EEF"/>
    <w:rsid w:val="00DB3907"/>
    <w:rsid w:val="00DD035C"/>
    <w:rsid w:val="00E17158"/>
    <w:rsid w:val="00EE04AD"/>
    <w:rsid w:val="00EF4485"/>
    <w:rsid w:val="00F81B95"/>
    <w:rsid w:val="00FB0FAA"/>
    <w:rsid w:val="00FF1677"/>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decimalSymbol w:val="."/>
  <w:listSeparator w:val=","/>
  <w14:docId w14:val="0CAF3BDC"/>
  <w15:chartTrackingRefBased/>
  <w15:docId w15:val="{304A774A-16F2-9F4F-B079-FAFBC91BA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126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2126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2126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2126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2126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2126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126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126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126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126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2126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2126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2126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2126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2126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126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126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1264"/>
    <w:rPr>
      <w:rFonts w:eastAsiaTheme="majorEastAsia" w:cstheme="majorBidi"/>
      <w:color w:val="272727" w:themeColor="text1" w:themeTint="D8"/>
    </w:rPr>
  </w:style>
  <w:style w:type="paragraph" w:styleId="Title">
    <w:name w:val="Title"/>
    <w:basedOn w:val="Normal"/>
    <w:next w:val="Normal"/>
    <w:link w:val="TitleChar"/>
    <w:uiPriority w:val="10"/>
    <w:qFormat/>
    <w:rsid w:val="00C2126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126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126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126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1264"/>
    <w:pPr>
      <w:spacing w:before="160"/>
      <w:jc w:val="center"/>
    </w:pPr>
    <w:rPr>
      <w:i/>
      <w:iCs/>
      <w:color w:val="404040" w:themeColor="text1" w:themeTint="BF"/>
    </w:rPr>
  </w:style>
  <w:style w:type="character" w:customStyle="1" w:styleId="QuoteChar">
    <w:name w:val="Quote Char"/>
    <w:basedOn w:val="DefaultParagraphFont"/>
    <w:link w:val="Quote"/>
    <w:uiPriority w:val="29"/>
    <w:rsid w:val="00C21264"/>
    <w:rPr>
      <w:i/>
      <w:iCs/>
      <w:color w:val="404040" w:themeColor="text1" w:themeTint="BF"/>
    </w:rPr>
  </w:style>
  <w:style w:type="paragraph" w:styleId="ListParagraph">
    <w:name w:val="List Paragraph"/>
    <w:basedOn w:val="Normal"/>
    <w:uiPriority w:val="34"/>
    <w:qFormat/>
    <w:rsid w:val="00C21264"/>
    <w:pPr>
      <w:ind w:left="720"/>
      <w:contextualSpacing/>
    </w:pPr>
  </w:style>
  <w:style w:type="character" w:styleId="IntenseEmphasis">
    <w:name w:val="Intense Emphasis"/>
    <w:basedOn w:val="DefaultParagraphFont"/>
    <w:uiPriority w:val="21"/>
    <w:qFormat/>
    <w:rsid w:val="00C21264"/>
    <w:rPr>
      <w:i/>
      <w:iCs/>
      <w:color w:val="0F4761" w:themeColor="accent1" w:themeShade="BF"/>
    </w:rPr>
  </w:style>
  <w:style w:type="paragraph" w:styleId="IntenseQuote">
    <w:name w:val="Intense Quote"/>
    <w:basedOn w:val="Normal"/>
    <w:next w:val="Normal"/>
    <w:link w:val="IntenseQuoteChar"/>
    <w:uiPriority w:val="30"/>
    <w:qFormat/>
    <w:rsid w:val="00C2126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21264"/>
    <w:rPr>
      <w:i/>
      <w:iCs/>
      <w:color w:val="0F4761" w:themeColor="accent1" w:themeShade="BF"/>
    </w:rPr>
  </w:style>
  <w:style w:type="character" w:styleId="IntenseReference">
    <w:name w:val="Intense Reference"/>
    <w:basedOn w:val="DefaultParagraphFont"/>
    <w:uiPriority w:val="32"/>
    <w:qFormat/>
    <w:rsid w:val="00C21264"/>
    <w:rPr>
      <w:b/>
      <w:bCs/>
      <w:smallCaps/>
      <w:color w:val="0F4761" w:themeColor="accent1" w:themeShade="BF"/>
      <w:spacing w:val="5"/>
    </w:rPr>
  </w:style>
  <w:style w:type="table" w:styleId="TableGrid">
    <w:name w:val="Table Grid"/>
    <w:basedOn w:val="TableNormal"/>
    <w:uiPriority w:val="39"/>
    <w:rsid w:val="00C212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Pages>
  <Words>256</Words>
  <Characters>1463</Characters>
  <Application>Microsoft Office Word</Application>
  <DocSecurity>0</DocSecurity>
  <Lines>12</Lines>
  <Paragraphs>3</Paragraphs>
  <ScaleCrop>false</ScaleCrop>
  <Company/>
  <LinksUpToDate>false</LinksUpToDate>
  <CharactersWithSpaces>1716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UĞUR BOZKAYA</dc:creator>
  <cp:keywords/>
  <dc:description/>
  <cp:lastModifiedBy>UĞUR BOZKAYA</cp:lastModifiedBy>
  <cp:revision>118</cp:revision>
  <dcterms:created xsi:type="dcterms:W3CDTF">2025-02-25T12:13:00Z</dcterms:created>
  <dcterms:modified xsi:type="dcterms:W3CDTF">2026-06-05T16:04:00Z</dcterms:modified>
</cp:coreProperties>
</file>