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şişede kolonya ile yanında bir sprey kutusu (saç spreyi ya da oda spreyi);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“cologne bottle and aerosol spray can”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şişede elma ya da üzüm sirkesi ve küçük bir kâsede sirke;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“vinegar glass bottle bowl”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bileşiklerin adları ve kapalı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Görsel C’de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Görsel C’deki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Kapalı formülleri aynı olan bazı bileşiklerin kaynama noktaları ve sudaki çözünürlükleri (1 atm)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etanol ile metoksimetanın, propanal ile propanonun, etanoik asit ile metil metanoatın aynı kapalı formüle sahip olduğunu belirlediniz. Modellerinizde bu çiftlerin aynı atomları farklı düzenlerle bir araya getirdiğini ve bu farklı düzenlerin farklı fonksiyonel gruplar oluşturduğunu gördünüz. Bu gözlemlerden, kapalı formülleri aynı olan bu bileşiklerin birbirinin izomeri olduğu sonucuna ulaşılabilir. Kapalı formülleri aynı, fonksiyonel grupları farklı olan bileşiklere </w:t>
      </w:r>
      <w:r>
        <w:rPr>
          <w:rFonts w:ascii="Times New Roman" w:hAnsi="Times New Roman" w:cs="Times New Roman"/>
          <w:b/>
          <w:bCs/>
          <w:lang w:val="tr-TR"/>
        </w:rPr>
        <w:t xml:space="preserve">fonksiyonel grup izomerleri</w:t>
      </w:r>
      <w:r>
        <w:rPr>
          <w:rFonts w:ascii="Times New Roman" w:hAnsi="Times New Roman" w:cs="Times New Roman"/>
          <w:lang w:val="tr-TR"/>
        </w:rPr>
        <w:t xml:space="preserve">, bu izomerlik türüne de </w:t>
      </w:r>
      <w:r>
        <w:rPr>
          <w:rFonts w:ascii="Times New Roman" w:hAnsi="Times New Roman" w:cs="Times New Roman"/>
          <w:b/>
          <w:bCs/>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yapısal izomerlik türüdür.</w:t>
      </w:r>
    </w:p>
    <w:p>
      <w:pPr>
        <w:jc w:val="both"/>
        <w:rPr>
          <w:rFonts w:ascii="Times New Roman" w:hAnsi="Times New Roman" w:cs="Times New Roman"/>
          <w:lang w:val="tr-TR"/>
        </w:rPr>
      </w:pPr>
      <w:r>
        <w:rPr>
          <w:rFonts w:ascii="Times New Roman" w:hAnsi="Times New Roman" w:cs="Times New Roman"/>
          <w:lang w:val="tr-TR"/>
        </w:rPr>
        <w:t xml:space="preserve">Etkinlikte oluşturduğunuz çiftler, açık zincirli ve doymuş bileşiklerde fonksiyonel grup izomerliğinin üç temel biçimini gösterir (Tablo C).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 – metoksimetan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 – propanon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 – metil metanoat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Etkinliğin 5. aşamasında gördüğünüz gibi karbon sayısı arttıkça izomer sayısı da artar. Örneğin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formülüne bir karboksilik asit (propanoik asit) ve iki ester (metil etanoat ve etil metanoat) karşılık gelir. Esterler kendi aralarında, alkoller ise –OH grubunun konumuna göre birbirinin izomeridir;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Etkinlikte Tablo B’deki yeni kanıtları açıklamak için modelinizde –OH grubunu özellikle göstermeniz gerektiğini fark ettiniz. Fonksiyonel grup izomerlerinin özelliklerindeki farklılıklar fonksiyonel grupların yapısıyla açıklanabilir (Tablo D).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E’de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E:</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Bütan-2-on,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Propan-1-ol (kaynama noktası 97 °C) ile metoksietanın (kaynama noktası 7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O’dur; mol kütleleri ve elektron sayıları aynıdır. Bu nedenle London kuvvetleri yaklaşık aynı büyüklüktedir. Propan-1-ol molekülünde oksijene bağlı hidrojen atomu bulunduğundan moleküller arasında hidrojen bağı oluşur. Metoksietan moleküllerinde ise oksijene bağlı hidrojen atomu yoktur ve moleküller arasında yalnızca dipol-dipol etkileşimleri ile London kuvvetleri bulunur. Hidrojen bağlarını koparmak için daha fazla enerji gerektiğinden propan-1-olün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E’nin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etanol – metoksimetan</w:t>
      </w:r>
      <w:r>
        <w:rPr>
          <w:rFonts w:ascii="Times New Roman" w:hAnsi="Times New Roman" w:cs="Times New Roman"/>
          <w:lang w:val="tr-TR"/>
        </w:rPr>
        <w:tab/>
      </w:r>
      <w:r>
        <w:rPr>
          <w:rFonts w:ascii="Times New Roman" w:hAnsi="Times New Roman" w:cs="Times New Roman"/>
          <w:lang w:val="tr-TR"/>
        </w:rPr>
        <w:t xml:space="preserve">b) propan-1-ol – propan-2-ol</w:t>
      </w:r>
      <w:r>
        <w:rPr>
          <w:rFonts w:ascii="Times New Roman" w:hAnsi="Times New Roman" w:cs="Times New Roman"/>
          <w:lang w:val="tr-TR"/>
        </w:rPr>
        <w:tab/>
      </w:r>
      <w:r>
        <w:rPr>
          <w:rFonts w:ascii="Times New Roman" w:hAnsi="Times New Roman" w:cs="Times New Roman"/>
          <w:lang w:val="tr-TR"/>
        </w:rPr>
        <w:t xml:space="preserve">c) bütanoik asit – etil etanoat</w:t>
      </w:r>
      <w:r>
        <w:rPr>
          <w:rFonts w:ascii="Times New Roman" w:hAnsi="Times New Roman" w:cs="Times New Roman"/>
          <w:lang w:val="tr-TR"/>
        </w:rPr>
        <w:br/>
      </w:r>
      <w:r>
        <w:rPr>
          <w:rFonts w:ascii="Times New Roman" w:hAnsi="Times New Roman" w:cs="Times New Roman"/>
          <w:lang w:val="tr-TR"/>
        </w:rPr>
        <w:t xml:space="preserve">d) etanal – propanon</w:t>
      </w:r>
      <w:r>
        <w:rPr>
          <w:rFonts w:ascii="Times New Roman" w:hAnsi="Times New Roman" w:cs="Times New Roman"/>
          <w:lang w:val="tr-TR"/>
        </w:rPr>
        <w:tab/>
      </w:r>
      <w:r>
        <w:rPr>
          <w:rFonts w:ascii="Times New Roman" w:hAnsi="Times New Roman" w:cs="Times New Roman"/>
          <w:lang w:val="tr-TR"/>
        </w:rPr>
        <w:t xml:space="preserve">e) propanal – propanon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bir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Etanoik asidin kaynama noktası metil metanoatınkinden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Etil etanoat (etil asetat) oje çıkarıcılarda ve yapıştırıcılarda çözücü olarak kullanılır. Fonksiyonel grup izomeri olan bütanoik asit ise ransit tereyağının kötü kokusundan sorumludur. Bu iki bileşiğin uzay dolgu modellerini çizerek kokuları ve kaynama noktaları (etil etanoat 77 °C, bütanoik asit 164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