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09DCE0F9">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 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5AC9C6CF"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0A7F5FA6"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Faktör</w:t>
            </w:r>
          </w:p>
        </w:tc>
        <w:tc>
          <w:tcPr>
            <w:tcW w:w="2700" w:type="dxa"/>
            <w:shd w:val="clear" w:color="auto" w:fill="D9E2F3"/>
            <w:vAlign w:val="center"/>
          </w:tcPr>
          <w:p w14:paraId="08F123C4"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Günlük hayattan örnek olay</w:t>
            </w:r>
          </w:p>
        </w:tc>
        <w:tc>
          <w:tcPr>
            <w:tcW w:w="2400" w:type="dxa"/>
            <w:shd w:val="clear" w:color="auto" w:fill="D9E2F3"/>
            <w:vAlign w:val="center"/>
          </w:tcPr>
          <w:p w14:paraId="25F5C256"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Araştırılabilir soru</w:t>
            </w:r>
          </w:p>
        </w:tc>
        <w:tc>
          <w:tcPr>
            <w:tcW w:w="2400" w:type="dxa"/>
            <w:shd w:val="clear" w:color="auto" w:fill="D9E2F3"/>
            <w:vAlign w:val="center"/>
          </w:tcPr>
          <w:p w14:paraId="602D368E"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Hipotez</w:t>
            </w:r>
          </w:p>
        </w:tc>
      </w:tr>
      <w:tr w:rsidR="00E84BB5" w14:paraId="49563837" w14:textId="77777777">
        <w:trPr>
          <w:trHeight w:val="900"/>
          <w:jc w:val="center"/>
        </w:trPr>
        <w:tc>
          <w:tcPr>
            <w:tcW w:w="1500" w:type="dxa"/>
            <w:vAlign w:val="center"/>
          </w:tcPr>
          <w:p w14:paraId="38BD682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w:t>
            </w:r>
          </w:p>
        </w:tc>
        <w:tc>
          <w:tcPr>
            <w:tcW w:w="2700" w:type="dxa"/>
            <w:vAlign w:val="center"/>
          </w:tcPr>
          <w:p w14:paraId="55508597"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Süt, buzdolabında oda sıcaklığına göre daha geç bozulur.</w:t>
            </w:r>
          </w:p>
        </w:tc>
        <w:tc>
          <w:tcPr>
            <w:tcW w:w="2400" w:type="dxa"/>
            <w:vAlign w:val="center"/>
          </w:tcPr>
          <w:p w14:paraId="0D21D64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sütün bozulma tepkimelerinin hızını nasıl etkiler?</w:t>
            </w:r>
          </w:p>
        </w:tc>
        <w:tc>
          <w:tcPr>
            <w:tcW w:w="2400" w:type="dxa"/>
            <w:vAlign w:val="center"/>
          </w:tcPr>
          <w:p w14:paraId="66258B19"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cinsi</w:t>
            </w:r>
          </w:p>
        </w:tc>
        <w:tc>
          <w:tcPr>
            <w:tcW w:w="2700" w:type="dxa"/>
            <w:vAlign w:val="center"/>
          </w:tcPr>
          <w:p w14:paraId="17B6D80D" w14:textId="4BC55129"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Sodyum metali suyla şiddetle tepkimeye girerken</w:t>
            </w:r>
            <w:r w:rsidR="00B65F75">
              <w:rPr>
                <w:rFonts w:ascii="Times New Roman" w:hAnsi="Times New Roman" w:cs="Times New Roman"/>
                <w:lang w:val="tr-TR"/>
              </w:rPr>
              <w:t>,</w:t>
            </w:r>
            <w:r w:rsidRPr="00F31F49">
              <w:rPr>
                <w:rFonts w:ascii="Times New Roman" w:hAnsi="Times New Roman" w:cs="Times New Roman"/>
                <w:lang w:val="tr-TR"/>
              </w:rPr>
              <w:t xml:space="preserve"> demir suyla çok yavaş tepkimeye girer.</w:t>
            </w:r>
          </w:p>
        </w:tc>
        <w:tc>
          <w:tcPr>
            <w:tcW w:w="2400" w:type="dxa"/>
            <w:vAlign w:val="center"/>
          </w:tcPr>
          <w:p w14:paraId="5C8B1A9A" w14:textId="77777777" w:rsidR="00E84BB5" w:rsidRPr="00F31F49" w:rsidRDefault="00E84BB5">
            <w:pPr>
              <w:rPr>
                <w:rFonts w:ascii="Times New Roman" w:hAnsi="Times New Roman" w:cs="Times New Roman"/>
                <w:lang w:val="tr-TR"/>
              </w:rPr>
            </w:pPr>
          </w:p>
        </w:tc>
        <w:tc>
          <w:tcPr>
            <w:tcW w:w="2400" w:type="dxa"/>
            <w:vAlign w:val="center"/>
          </w:tcPr>
          <w:p w14:paraId="5F886268" w14:textId="77777777" w:rsidR="00E84BB5" w:rsidRPr="00F31F49"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Fiziksel hâl</w:t>
            </w:r>
          </w:p>
        </w:tc>
        <w:tc>
          <w:tcPr>
            <w:tcW w:w="2700" w:type="dxa"/>
            <w:vAlign w:val="center"/>
          </w:tcPr>
          <w:p w14:paraId="10C619A0"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Benzin buharı küçük bir kıvılcımla anında tutuşup yanar; bu nedenle akaryakıt istasyonlarında kıvılcım çıkarabilecek davranışlar yasaktır. Kaptaki sıvı benzin ise ancak yüzeyinden buharlaştığı ölçüde yanar.</w:t>
            </w:r>
          </w:p>
        </w:tc>
        <w:tc>
          <w:tcPr>
            <w:tcW w:w="2400" w:type="dxa"/>
            <w:vAlign w:val="center"/>
          </w:tcPr>
          <w:p w14:paraId="1AD1D2CA" w14:textId="77777777" w:rsidR="00E84BB5" w:rsidRPr="00F31F49" w:rsidRDefault="00E84BB5">
            <w:pPr>
              <w:rPr>
                <w:rFonts w:ascii="Times New Roman" w:hAnsi="Times New Roman" w:cs="Times New Roman"/>
                <w:lang w:val="tr-TR"/>
              </w:rPr>
            </w:pPr>
          </w:p>
        </w:tc>
        <w:tc>
          <w:tcPr>
            <w:tcW w:w="2400" w:type="dxa"/>
            <w:vAlign w:val="center"/>
          </w:tcPr>
          <w:p w14:paraId="7E9043AE" w14:textId="77777777" w:rsidR="00E84BB5" w:rsidRPr="00F31F49"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derişimi</w:t>
            </w:r>
          </w:p>
        </w:tc>
        <w:tc>
          <w:tcPr>
            <w:tcW w:w="2700" w:type="dxa"/>
            <w:vAlign w:val="center"/>
          </w:tcPr>
          <w:p w14:paraId="12D8BC1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Derişik hidrobromik asit çözeltisine atılan alüminyum folyo parçası yoğun gaz kabarcıkları çıkararak kısa sürede tükenir; seyreltik hidrobromik asit çözeltisine atılan aynı boyuttaki alüminyum folyo parçası ise daha az kabarcık çıkararak çok daha uzun sürede tükenir.</w:t>
            </w:r>
          </w:p>
        </w:tc>
        <w:tc>
          <w:tcPr>
            <w:tcW w:w="2400" w:type="dxa"/>
            <w:vAlign w:val="center"/>
          </w:tcPr>
          <w:p w14:paraId="1FB3F321" w14:textId="77777777" w:rsidR="00E84BB5" w:rsidRPr="00F31F49" w:rsidRDefault="00E84BB5">
            <w:pPr>
              <w:rPr>
                <w:rFonts w:ascii="Times New Roman" w:hAnsi="Times New Roman" w:cs="Times New Roman"/>
                <w:lang w:val="tr-TR"/>
              </w:rPr>
            </w:pPr>
          </w:p>
        </w:tc>
        <w:tc>
          <w:tcPr>
            <w:tcW w:w="2400" w:type="dxa"/>
            <w:vAlign w:val="center"/>
          </w:tcPr>
          <w:p w14:paraId="558304BD" w14:textId="77777777" w:rsidR="00E84BB5" w:rsidRPr="00F31F49"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Katı tepkenin temas yüzeyi</w:t>
            </w:r>
          </w:p>
        </w:tc>
        <w:tc>
          <w:tcPr>
            <w:tcW w:w="2700" w:type="dxa"/>
            <w:vAlign w:val="center"/>
          </w:tcPr>
          <w:p w14:paraId="7123539E" w14:textId="42DADDCD" w:rsidR="00E84BB5" w:rsidRPr="00F31F49" w:rsidRDefault="00AC21BD">
            <w:pPr>
              <w:rPr>
                <w:rFonts w:ascii="Times New Roman" w:hAnsi="Times New Roman" w:cs="Times New Roman"/>
                <w:lang w:val="tr-TR"/>
              </w:rPr>
            </w:pPr>
            <w:r>
              <w:rPr>
                <w:rFonts w:ascii="Times New Roman" w:hAnsi="Times New Roman" w:cs="Times New Roman"/>
                <w:lang w:val="tr-TR"/>
              </w:rPr>
              <w:t>Talaş</w:t>
            </w:r>
            <w:r w:rsidR="00000000" w:rsidRPr="00F31F49">
              <w:rPr>
                <w:rFonts w:ascii="Times New Roman" w:hAnsi="Times New Roman" w:cs="Times New Roman"/>
                <w:lang w:val="tr-TR"/>
              </w:rPr>
              <w:t>, aynı kütledeki odun kütüğünden çok daha hızlı yanar.</w:t>
            </w:r>
          </w:p>
        </w:tc>
        <w:tc>
          <w:tcPr>
            <w:tcW w:w="2400" w:type="dxa"/>
            <w:vAlign w:val="center"/>
          </w:tcPr>
          <w:p w14:paraId="734BD067" w14:textId="77777777" w:rsidR="00E84BB5" w:rsidRPr="00F31F49" w:rsidRDefault="00E84BB5">
            <w:pPr>
              <w:rPr>
                <w:rFonts w:ascii="Times New Roman" w:hAnsi="Times New Roman" w:cs="Times New Roman"/>
                <w:lang w:val="tr-TR"/>
              </w:rPr>
            </w:pPr>
          </w:p>
        </w:tc>
        <w:tc>
          <w:tcPr>
            <w:tcW w:w="2400" w:type="dxa"/>
            <w:vAlign w:val="center"/>
          </w:tcPr>
          <w:p w14:paraId="3E86F0EF" w14:textId="77777777" w:rsidR="00E84BB5" w:rsidRPr="00F31F49"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lastRenderedPageBreak/>
              <w:t>Katalizör</w:t>
            </w:r>
          </w:p>
        </w:tc>
        <w:tc>
          <w:tcPr>
            <w:tcW w:w="2700" w:type="dxa"/>
            <w:vAlign w:val="center"/>
          </w:tcPr>
          <w:p w14:paraId="126A73DB"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Hidrojen peroksit (oksijenli su) yaraya döküldüğünde köpürür.</w:t>
            </w:r>
          </w:p>
        </w:tc>
        <w:tc>
          <w:tcPr>
            <w:tcW w:w="2400" w:type="dxa"/>
            <w:vAlign w:val="center"/>
          </w:tcPr>
          <w:p w14:paraId="18EB6477" w14:textId="77777777" w:rsidR="00E84BB5" w:rsidRPr="00F31F49" w:rsidRDefault="00E84BB5">
            <w:pPr>
              <w:rPr>
                <w:rFonts w:ascii="Times New Roman" w:hAnsi="Times New Roman" w:cs="Times New Roman"/>
                <w:lang w:val="tr-TR"/>
              </w:rPr>
            </w:pPr>
          </w:p>
        </w:tc>
        <w:tc>
          <w:tcPr>
            <w:tcW w:w="2400" w:type="dxa"/>
            <w:vAlign w:val="center"/>
          </w:tcPr>
          <w:p w14:paraId="1979DCC9" w14:textId="77777777" w:rsidR="00E84BB5" w:rsidRPr="00F31F49"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26BBE561" w14:textId="77777777">
        <w:trPr>
          <w:jc w:val="center"/>
        </w:trPr>
        <w:tc>
          <w:tcPr>
            <w:tcW w:w="9000" w:type="dxa"/>
            <w:shd w:val="clear" w:color="auto" w:fill="E2EFDA"/>
          </w:tcPr>
          <w:p w14:paraId="2C1D805C"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Deney önerileri</w:t>
            </w:r>
          </w:p>
          <w:p w14:paraId="02D20AB0"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4EF0BD6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04A00759"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0A469868"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515194AA"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41C11127"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77777777" w:rsidR="00E3301E" w:rsidRDefault="00000000">
      <w:pPr>
        <w:jc w:val="both"/>
        <w:rPr>
          <w:rFonts w:ascii="Times New Roman" w:hAnsi="Times New Roman" w:cs="Times New Roman"/>
          <w:lang w:val="tr-TR"/>
        </w:rPr>
      </w:pPr>
      <w:r>
        <w:rPr>
          <w:rFonts w:ascii="Times New Roman" w:hAnsi="Times New Roman" w:cs="Times New Roman"/>
          <w:lang w:val="tr-TR"/>
        </w:rPr>
        <w:t>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Aynı koşullarda farklı maddeler farklı hızlarda tepkimeye girer. Örneğin oda sıcaklığında gümüş nitrat çözeltisine sodyum klorür çözeltisi eklendiğinde beyaz renkli gümüş klorür çökeleği anında oluşur (Görsel C). Buna karşılık doğal gazın temel bileşeni olan metan, havadaki oksijenle aynı ortamda uzun süre tepkimeye girmeden bulunabilir; yanmanın başlaması için bir 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 xml:space="preserve">(suda) → AgCl(k) gibi) </w:t>
      </w:r>
      <w:r>
        <w:rPr>
          <w:rFonts w:ascii="Times New Roman" w:hAnsi="Times New Roman" w:cs="Times New Roman"/>
          <w:lang w:val="tr-TR"/>
        </w:rPr>
        <w:lastRenderedPageBreak/>
        <w:t>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CF22E61" w14:textId="77777777">
        <w:trPr>
          <w:jc w:val="center"/>
        </w:trPr>
        <w:tc>
          <w:tcPr>
            <w:tcW w:w="9000" w:type="dxa"/>
            <w:shd w:val="clear" w:color="auto" w:fill="EDEDED"/>
          </w:tcPr>
          <w:p w14:paraId="51B2EB48"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57F9132E" w14:textId="77777777" w:rsidR="00E3301E" w:rsidRDefault="00000000">
            <w:pPr>
              <w:jc w:val="both"/>
              <w:rPr>
                <w:rFonts w:ascii="Times New Roman" w:hAnsi="Times New Roman" w:cs="Times New Roman"/>
                <w:lang w:val="tr-TR"/>
              </w:rPr>
            </w:pPr>
            <w:r>
              <w:rPr>
                <w:rFonts w:ascii="Times New Roman" w:hAnsi="Times New Roman" w:cs="Times New Roman"/>
                <w:lang w:val="tr-TR"/>
              </w:rPr>
              <w:t>Tarif: Gümüş nitrat çözeltisi bulunan bir deney tüpüne/behere sodyum klorür çözeltisi damlatıldığı anda oluşan beyaz, bulutsu gümüş klorür çökeleği.</w:t>
            </w:r>
          </w:p>
          <w:p w14:paraId="0961A661"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Shutterstock arama: “silver chloride precipitate” / “white precipitate test tube”</w:t>
            </w:r>
          </w:p>
          <w:p w14:paraId="0238827A"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 ID: 2074498582 (vektörel; AgNO₃ + NaCl → AgCl + NaNO₃ çökelme tepkimesi, etiketler Türkçeleştirilmeli). Alternatif: 2294975705. Uygun fotoğraf bulunamadı; mümkünse deney fotoğrafı çekilsin.</w:t>
            </w:r>
          </w:p>
        </w:tc>
      </w:tr>
    </w:tbl>
    <w:p w14:paraId="01EA1197" w14:textId="77777777" w:rsidR="00E84BB5" w:rsidRDefault="00E84BB5">
      <w:pPr>
        <w:jc w:val="both"/>
        <w:rPr>
          <w:rFonts w:ascii="Times New Roman" w:hAnsi="Times New Roman" w:cs="Times New Roman"/>
          <w:lang w:val="tr-TR"/>
        </w:rPr>
      </w:pPr>
    </w:p>
    <w:p w14:paraId="0BB189E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Gümüş nitrat ve sodyum klorür çözeltilerinin karıştırılmasıyla anında oluşan gümüş klorür çökeleği</w:t>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w:t>
      </w:r>
      <w:r>
        <w:rPr>
          <w:rFonts w:ascii="Times New Roman" w:hAnsi="Times New Roman" w:cs="Times New Roman"/>
          <w:lang w:val="tr-TR"/>
        </w:rPr>
        <w:lastRenderedPageBreak/>
        <w:t>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88C0F15" w14:textId="77777777">
        <w:trPr>
          <w:jc w:val="center"/>
        </w:trPr>
        <w:tc>
          <w:tcPr>
            <w:tcW w:w="9000" w:type="dxa"/>
            <w:shd w:val="clear" w:color="auto" w:fill="EDEDED"/>
          </w:tcPr>
          <w:p w14:paraId="177E5247"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6427229E"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4C67E369"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02B6D99" w14:textId="77777777" w:rsidR="00E84BB5" w:rsidRDefault="00E84BB5">
      <w:pPr>
        <w:jc w:val="both"/>
        <w:rPr>
          <w:rFonts w:ascii="Times New Roman" w:hAnsi="Times New Roman" w:cs="Times New Roman"/>
          <w:lang w:val="tr-TR"/>
        </w:rPr>
      </w:pPr>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FD205D" w14:textId="77777777" w:rsidR="00797AF3" w:rsidRDefault="00797AF3" w:rsidP="009A5D82">
      <w:pPr>
        <w:spacing w:after="0" w:line="240" w:lineRule="auto"/>
      </w:pPr>
      <w:r>
        <w:separator/>
      </w:r>
    </w:p>
  </w:endnote>
  <w:endnote w:type="continuationSeparator" w:id="0">
    <w:p w14:paraId="346BDC4B" w14:textId="77777777" w:rsidR="00797AF3" w:rsidRDefault="00797AF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CDDB16" w14:textId="77777777" w:rsidR="00797AF3" w:rsidRDefault="00797AF3" w:rsidP="009A5D82">
      <w:pPr>
        <w:spacing w:after="0" w:line="240" w:lineRule="auto"/>
      </w:pPr>
      <w:r>
        <w:separator/>
      </w:r>
    </w:p>
  </w:footnote>
  <w:footnote w:type="continuationSeparator" w:id="0">
    <w:p w14:paraId="3E70FCBA" w14:textId="77777777" w:rsidR="00797AF3" w:rsidRDefault="00797AF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5D90"/>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3DF3"/>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97AF3"/>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5837"/>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21BD"/>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5F75"/>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00A5"/>
    <w:rsid w:val="00F227D0"/>
    <w:rsid w:val="00F23C11"/>
    <w:rsid w:val="00F24F33"/>
    <w:rsid w:val="00F30F7C"/>
    <w:rsid w:val="00F31F49"/>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2675</TotalTime>
  <Pages>17</Pages>
  <Words>3687</Words>
  <Characters>21017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980</cp:revision>
  <dcterms:created xsi:type="dcterms:W3CDTF">2024-08-03T20:14:00Z</dcterms:created>
  <dcterms:modified xsi:type="dcterms:W3CDTF">2026-10-24T19:42:00Z</dcterms:modified>
</cp:coreProperties>
</file>