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Bu soruların cevabını Analiz ve Keşif Atölyesi 2.10.’daki etkinliği yaparak keşfediniz. Etkinlikte asit ile bazın tepkimesini izleyebileceğiniz ölçütleri kendiniz belirleyecek, bu ölçütleri deneyle sınayacak ve topladığınız verilerden yola çıkarak nötralleşme olayını ölçülebilir niteliklerle, yani operasyonel olarak tanımlayacaksınız. Deneyi planlı ve özenli bir şekilde yürütürken çalışkanlığınızı ortaya koyacak, süreç sonunda kendinizi değerlendirerek öz yansıtma becerinizi geliştireceksiniz.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1301850" cy="1980000"/>
                  <wp:docPr id="900012" name="Picture 900012"/>
                  <wp:cNvGraphicFramePr>
                    <a:graphicFrameLocks noChangeAspect="1"/>
                  </wp:cNvGraphicFramePr>
                  <a:graphic>
                    <a:graphicData uri="http://schemas.openxmlformats.org/drawingml/2006/picture">
                      <pic:pic>
                        <pic:nvPicPr>
                          <pic:cNvPr id="0" name="188016662_d.jpg"/>
                          <pic:cNvPicPr/>
                        </pic:nvPicPr>
                        <pic:blipFill>
                          <a:blip r:embed="rId11"/>
                          <a:stretch>
                            <a:fillRect/>
                          </a:stretch>
                        </pic:blipFill>
                        <pic:spPr>
                          <a:xfrm>
                            <a:off x="0" y="0"/>
                            <a:ext cx="1301850"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188016662</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c>
        <w:tc>
          <w:tcPr>
            <w:tcW w:w="4500" w:type="dxa"/>
          </w:tcPr>
          <w:p>
            <w:pPr>
              <w:jc w:val="center"/>
            </w:pPr>
            <w:r>
              <w:drawing>
                <wp:inline xmlns:a="http://schemas.openxmlformats.org/drawingml/2006/main" xmlns:pic="http://schemas.openxmlformats.org/drawingml/2006/picture">
                  <wp:extent cx="2424489" cy="1979999"/>
                  <wp:docPr id="900013" name="Picture 900013"/>
                  <wp:cNvGraphicFramePr>
                    <a:graphicFrameLocks noChangeAspect="1"/>
                  </wp:cNvGraphicFramePr>
                  <a:graphic>
                    <a:graphicData uri="http://schemas.openxmlformats.org/drawingml/2006/picture">
                      <pic:pic>
                        <pic:nvPicPr>
                          <pic:cNvPr id="0" name="2565145733_d.jpg"/>
                          <pic:cNvPicPr/>
                        </pic:nvPicPr>
                        <pic:blipFill>
                          <a:blip r:embed="rId12"/>
                          <a:stretch>
                            <a:fillRect/>
                          </a:stretch>
                        </pic:blipFill>
                        <pic:spPr>
                          <a:xfrm>
                            <a:off x="0" y="0"/>
                            <a:ext cx="2424489"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2565145733</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Ölçütlerinizi belirlerken çözeltide gözle fark edilebilecek değişimleri, tanecik düzeyinde neler olabileceğini ve bu değişimin sembolik gösterimini birlikte düşününüz. Ölçütlerinizi belirlemek için ders kitabınızdan ve güvenilir bilimsel kaynaklardan araştırma yapınız; farklı kaynaklardan edindiğiniz bilgileri karşılaştırarak seçtiğiniz ölçütleri gerekçelendiriniz. Aşağıdaki tabloda her ölçüt için kullanacağınız ölçüm aracını ya da yöntemi ve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0,10 M hidroklorik asit ve 0,10 M sodyum hidroksit çözeltileri, fenolftalein, pH metre ya da pH kâğıdı, iletkenlik ölçer ya da pil-ampul (LED) düzeneği, büret ya da dereceli pipet ve beher gibi malzemeler kullanabilirsiniz. Deneyinizi gerçekleştirmek için farklı malzemeler de tercih edebilirsiniz. Deneyinizi gerçekleştirirken uymanız gereken güvenlik uyarılarını belirleyiniz. Ölçümlerinizi 20,0 mL asit çözeltisine eklenen baz çözeltisinin hacmine göre aşağıdaki tabloya kaydediniz.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hazır veri setini)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27381"/>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627381"/>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27381"/>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2738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 Deneyde gözlediğiniz makroskobik değişimleri (pH’ın ve iletkenliğin değişmesi, indikatörün renk değiştirmesi) modelinizdeki tanecik değişimleriyle ve denklemle ilişkilendirerek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nasıl bir ilişki vardır? Bu ilişkiyi derişim (M) ve hacim (V) kullanarak matematiksel olarak ifade ediniz. Ardından belirlediğiniz ölçütleri ve bu matematiksel ilişkiyi kullanarak nötralleşme olayının operasyonel tanımını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gözlediğiniz pH, iletkenlik ve indikatör rengindeki değişimler, asit ile baz arasında bir tepkime gerçekleştiğini gösterir. Asit ve bazın tepkimeye girerek tuz ve su oluşturduğu kimyasal olaya nötralleşme denir. Bu tepkimede asit ve baz birbirinin asidik ve bazik özelliklerini etkisiz hâle getirir. Kuvvetli asitler ve kuvvetli bazlar suda tamamen iyonlaştığından aralarındaki nötralleşme tepkimesi çok hızlı ve tamamen ürünler yönünde gerçekleşir. Peki bu tepkimede hangi tanecikler değişime uğrar? Örneğin hidrobromik asit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potasyum hidroksit (KOH) çözeltisinde ise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tepkimeye katılmayan bu iyonlara seyirci iyonlar denir. Karışımdaki su buharlaştırılırsa seyirci iyonlar KBr tuzu olarak kristallenir.</w:t>
      </w:r>
    </w:p>
    <w:p>
      <w:pPr>
        <w:jc w:val="center"/>
        <w:rPr>
          <w:rFonts w:ascii="Times New Roman" w:hAnsi="Times New Roman" w:cs="Times New Roman"/>
          <w:lang w:val="tr-TR"/>
        </w:rPr>
      </w:pPr>
      <w:r>
        <w:rPr>
          <w:rFonts w:ascii="Times New Roman" w:hAnsi="Times New Roman" w:cs="Times New Roman"/>
          <w:lang w:val="tr-TR"/>
        </w:rPr>
        <w:t xml:space="preserve">HBr(suda) + KOH(suda) → KBr(suda)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932181"/>
            <wp:docPr id="900005" name="Grafik 900005" descr="HBr-KOH nötralleşmesi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293218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HBr ve KOH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ısınması, nötralleşme tepkimelerinin ekzotermik olduğunu gösterir. Net iyon denklemi aynı olduğundan seyreltik kuvvetli asit ve kuvvetli baz çözeltileri arasındaki tepkimelerde 1 mol su oluşurken açığa çıkan ısı da yaklaşık aynıdır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pH, indikatör rengi ve elektriksel iletkenlik ölçülerek izlenebilir. Bu ölçütleri 50,0 mL 0,060 M HBr çözeltisine 0,10 M KOH çözeltisi eklenmesi örneği üzerinde inceleyelim:</w:t>
      </w:r>
    </w:p>
    <w:p>
      <w:pPr>
        <w:jc w:val="both"/>
        <w:rPr>
          <w:rFonts w:ascii="Times New Roman" w:hAnsi="Times New Roman" w:cs="Times New Roman"/>
          <w:lang w:val="tr-TR"/>
        </w:rPr>
      </w:pPr>
      <w:r>
        <w:rPr>
          <w:rFonts w:ascii="Times New Roman" w:hAnsi="Times New Roman" w:cs="Times New Roman"/>
          <w:lang w:val="tr-TR"/>
        </w:rPr>
        <w:t xml:space="preserve">• pH değişimi: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asit ve baz tamamen tükenir; bu duruma tam nötralleşme denir. Tam nötralleşmede çözeltide yalnızca suyun otoiyonizasyonundan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bulunduğundan kuvvetli asit-kuvvetli baz karışımının pH değeri 25 °C’de 7’dir. Tam nötralleşme noktasına yaklaşıldığında az miktarda baz eklenmesi pH’ı büyük ölçüde değiştirir. Örnekteki HBr çözeltisinin başlangıçta 1,22 olan pH değeri, eklenen KOH hacmi 29,0 mL iken 2,90; 30,0 mL iken 7,00; 31,0 mL iken 11,09 olur. Yalnızca 2 mL baz eklenmesi pH’ı yaklaşık 8 birim artırmıştır.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Mor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A’da verilmiştir. Tam nötralleşme anını doğru belirleyebilmek için renk değiştirme aralığı bu ana yakın olan ve renk değişimi belirgin biçimde gözlenebilen bir indikatör seçilir.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4,2-6,3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Bir çözeltinin elektriği iletmesi içerdiği iyonların derişimine ve türüne bağlıdır. HBr çözeltisine KOH çözeltisi eklendikçe her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iyonuyla su oluşturur;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Ayrıca çözeltinin hacmi arttığı için iyon derişimleri azalır. Bu nedenle iletkenlik azalır (Grafik A). Tam nötralleşme noktasında çözeltide yalnızca seyirci iyonlar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kaldığından iletkenlik en düşük değerine ulaşır. Bu noktadan sonra eklenen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tepkimeye girmeden çözeltide biriktiği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807213"/>
            <wp:docPr id="900006" name="Grafik 900006" descr="HBr-KOH 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78689" cy="280721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50,0 mL 0,060 M HBr çözeltisine 0,10 M KOH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İncelenen örnekte 50,0 mL 0,060 M HBr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30,0 mL 0,10 M KOH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tamamen tepkimeye girmiştir. Buna göre tam nötralleşmenin koşulu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olmasıdır. Asit ve bazın derişimi (M, mol/L) ve hacmi (V, L) biliniyorsa bu koşul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(HCl ve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(NaOH ve KOH için 1,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2) gösterir.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sayıları eşit değilse gerçekleşen nötralleşmeye kısmi nötralleşme denir. n</w:t>
      </w:r>
      <w:r>
        <w:rPr>
          <w:rFonts w:ascii="Times New Roman" w:hAnsi="Times New Roman" w:cs="Times New Roman"/>
          <w:lang w:val="tr-TR"/>
          <w:vertAlign w:val="subscript"/>
        </w:rPr>
        <w:t xml:space="preserve">H+</w:t>
      </w:r>
      <w:r>
        <w:rPr>
          <w:rFonts w:ascii="Times New Roman" w:hAnsi="Times New Roman" w:cs="Times New Roman"/>
          <w:lang w:val="tr-TR"/>
        </w:rPr>
        <w:t xml:space="preserve"> &gt; n</w:t>
      </w:r>
      <w:r>
        <w:rPr>
          <w:rFonts w:ascii="Times New Roman" w:hAnsi="Times New Roman" w:cs="Times New Roman"/>
          <w:lang w:val="tr-TR"/>
          <w:vertAlign w:val="subscript"/>
        </w:rPr>
        <w:t xml:space="preserve">OH−</w:t>
      </w:r>
      <w:r>
        <w:rPr>
          <w:rFonts w:ascii="Times New Roman" w:hAnsi="Times New Roman" w:cs="Times New Roman"/>
          <w:lang w:val="tr-TR"/>
        </w:rPr>
        <w:t xml:space="preserve"> ise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asidik, n</w:t>
      </w:r>
      <w:r>
        <w:rPr>
          <w:rFonts w:ascii="Times New Roman" w:hAnsi="Times New Roman" w:cs="Times New Roman"/>
          <w:lang w:val="tr-TR"/>
          <w:vertAlign w:val="subscript"/>
        </w:rPr>
        <w:t xml:space="preserve">OH−</w:t>
      </w:r>
      <w:r>
        <w:rPr>
          <w:rFonts w:ascii="Times New Roman" w:hAnsi="Times New Roman" w:cs="Times New Roman"/>
          <w:lang w:val="tr-TR"/>
        </w:rPr>
        <w:t xml:space="preserve"> &gt; n</w:t>
      </w:r>
      <w:r>
        <w:rPr>
          <w:rFonts w:ascii="Times New Roman" w:hAnsi="Times New Roman" w:cs="Times New Roman"/>
          <w:lang w:val="tr-TR"/>
          <w:vertAlign w:val="subscript"/>
        </w:rPr>
        <w:t xml:space="preserve">H+</w:t>
      </w:r>
      <w:r>
        <w:rPr>
          <w:rFonts w:ascii="Times New Roman" w:hAnsi="Times New Roman" w:cs="Times New Roman"/>
          <w:lang w:val="tr-TR"/>
        </w:rPr>
        <w:t xml:space="preserv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bazik olur. Artan iyonun mol sayısı karışımın toplam hacmine (V</w:t>
      </w:r>
      <w:r>
        <w:rPr>
          <w:rFonts w:ascii="Times New Roman" w:hAnsi="Times New Roman" w:cs="Times New Roman"/>
          <w:lang w:val="tr-TR"/>
          <w:vertAlign w:val="subscript"/>
        </w:rPr>
        <w:t xml:space="preserve">asit</w:t>
      </w:r>
      <w:r>
        <w:rPr>
          <w:rFonts w:ascii="Times New Roman" w:hAnsi="Times New Roman" w:cs="Times New Roman"/>
          <w:lang w:val="tr-TR"/>
        </w:rPr>
        <w:t xml:space="preserve"> + V</w:t>
      </w:r>
      <w:r>
        <w:rPr>
          <w:rFonts w:ascii="Times New Roman" w:hAnsi="Times New Roman" w:cs="Times New Roman"/>
          <w:lang w:val="tr-TR"/>
          <w:vertAlign w:val="subscript"/>
        </w:rPr>
        <w:t xml:space="preserve">baz</w:t>
      </w:r>
      <w:r>
        <w:rPr>
          <w:rFonts w:ascii="Times New Roman" w:hAnsi="Times New Roman" w:cs="Times New Roman"/>
          <w:lang w:val="tr-TR"/>
        </w:rPr>
        <w:t xml:space="preserve">; hacimlerin toplanabildiği kabul edilir) bölünerek derişimi, buradan da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2.10.’daki hazır veri setinde ve bilgi metnindeki HBr-KOH örneğinde (Grafik A) yer alan pH değerleri</w:t>
      </w:r>
      <w:r>
        <w:rPr>
          <w:rFonts w:ascii="Times New Roman" w:hAnsi="Times New Roman" w:cs="Times New Roman"/>
          <w:highlight w:val="yellow"/>
          <w:lang w:val="tr-TR"/>
        </w:rPr>
        <w:t xml:space="preserve">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