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CEVAP ANAHTARI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TEMA: SÜRDÜRÜLEBİLİRLİK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3.1.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 Hidrojenin yanma denklemi: 2H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→ 2H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O(s); yanma ürünü yalnızca su olduğu için sera gazı oluşmaz. Örnek değişkenler: bağımsız değişken evsel atık türü, bağımlı değişken toplanan gaz miktarı, kontrol değişkenleri atık kütlesi, su ve maya miktarı, sıcaklık, ışık, süre.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3.1.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D, Y, D, Y,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Patates kabuğu nişasta bakımından zengindir; fermantasyonla parçalanabilecek karbonhidrat miktarı fazla olduğu için daha fazla gaz oluşur. Marul yaprağının büyük kısmı su ve selüloz içerir.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Azalır. Düşük sıcaklıkta mikroorganizmaların ve enzimlerin etkinliği azalır, fermantasyon yavaşlar.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90 g glikoz = 0,5 mol; 0,5 · 4 = 2 mol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3.2.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3.2.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Yara bandı: bakteri çoğalmasını engeller / gümüşün çevreye ve faydalı bakterilere etkisi. Güneş kremi: UV korunması, beyaz iz bırakmaması / denize geçen parçacıkların su canlılarına olası etkisi. Ambalaj: raf ömrünü uzatır / nanoparçacıkların gıdaya geçme olasılığı ve geri dönüşüm zorluğu.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Nanoparçacıkların aynı kütledeki iri parçacıklara göre toplam yüzey alanı çok büyüktür; tepkenlerle temas eden yüzey ve etkin çarpışma sayısı artar.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(10</w:t>
      </w:r>
      <w:r>
        <w:rPr>
          <w:rFonts w:ascii="Times New Roman" w:hAnsi="Times New Roman" w:cs="Times New Roman"/>
          <w:vertAlign w:val="superscript"/>
          <w:lang w:val="tr-TR"/>
        </w:rPr>
        <w:t xml:space="preserve">7</w:t>
      </w:r>
      <w:r>
        <w:rPr>
          <w:rFonts w:ascii="Times New Roman" w:hAnsi="Times New Roman" w:cs="Times New Roman"/>
          <w:lang w:val="tr-TR"/>
        </w:rPr>
        <w:t xml:space="preserve">)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10</w:t>
      </w:r>
      <w:r>
        <w:rPr>
          <w:rFonts w:ascii="Times New Roman" w:hAnsi="Times New Roman" w:cs="Times New Roman"/>
          <w:vertAlign w:val="superscript"/>
          <w:lang w:val="tr-TR"/>
        </w:rPr>
        <w:t xml:space="preserve">21</w:t>
      </w:r>
      <w:r>
        <w:rPr>
          <w:rFonts w:ascii="Times New Roman" w:hAnsi="Times New Roman" w:cs="Times New Roman"/>
          <w:lang w:val="tr-TR"/>
        </w:rPr>
        <w:t xml:space="preserve"> küp elde edilir. Toplam yüzey alanı 10</w:t>
      </w:r>
      <w:r>
        <w:rPr>
          <w:rFonts w:ascii="Times New Roman" w:hAnsi="Times New Roman" w:cs="Times New Roman"/>
          <w:vertAlign w:val="superscript"/>
          <w:lang w:val="tr-TR"/>
        </w:rPr>
        <w:t xml:space="preserve">7</w:t>
      </w:r>
      <w:r>
        <w:rPr>
          <w:rFonts w:ascii="Times New Roman" w:hAnsi="Times New Roman" w:cs="Times New Roman"/>
          <w:lang w:val="tr-TR"/>
        </w:rPr>
        <w:t xml:space="preserve"> katına çıkar (6 cm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6·10</w:t>
      </w:r>
      <w:r>
        <w:rPr>
          <w:rFonts w:ascii="Times New Roman" w:hAnsi="Times New Roman" w:cs="Times New Roman"/>
          <w:vertAlign w:val="superscript"/>
          <w:lang w:val="tr-TR"/>
        </w:rPr>
        <w:t xml:space="preserve">7</w:t>
      </w:r>
      <w:r>
        <w:rPr>
          <w:rFonts w:ascii="Times New Roman" w:hAnsi="Times New Roman" w:cs="Times New Roman"/>
          <w:lang w:val="tr-TR"/>
        </w:rPr>
        <w:t xml:space="preserve"> cm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Örnek: Ürünün gerçek bir ihtiyaca yönelik faydası, etiket/içerik bilgisinin açıklığı, kullanım ve atık aşamasındaki çevresel etkileri, sağlık güvenliği.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3.3.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3.3.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1-c, 2-ç, 3-b, 4-a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a) Evet; sentetik lifler kopar. b) Hayır; cam plastik değildir. c) Evet; UV ve fiziksel etkilerle parçalanır. ç) Evet; lastik parçacıkları mikroplastik kaynağıdır.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Örnek şema: plastik atık → denizde parçalanma → plankton/küçük balık → büyük balık → insan.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Öğrenci özgün cevaplarını oluşturur (tek kullanımlık plastikleri azaltmak, geri dönüşüm, mikroboncuklu ürün kullanmamak vb.).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