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Shutterstock arama: “Pamukkale travertine terraces”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Çaydanlıkların dibinde biriken kireç, böbreklerde oluşabilen taşlar ve dişlerimizin mine tabakası da suda çok az çözünen tuzlardan oluşur. Suda az çözünen bir tuz suyla temas ettiğinde gözle görülür bir değişim olmasa da tanecik düzeyinde çözünme ve çökelme süreçleri hiç durmadan devam eder. Bu bölümde suda az çözünen tuzların çözünürlüğünü bir denge süreci olarak inceleyecek, çözünürlüğü nicel olarak ifade etmeyi ve çözünürlüğe etki eden faktörleri keşfedeceksiniz.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Shutterstock arama: “tooth enamel structure cross section illustration”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az çözünen bir tuzdur.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en az üç aşamada gösteren alt mikro düzeyde bir model çiziniz. Modelinizde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Gerekirse modelinizi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w:t>
      </w:r>
      <w:r>
        <w:rPr>
          <w:rFonts w:ascii="Times New Roman" w:hAnsi="Times New Roman" w:cs="Times New Roman"/>
          <w:lang w:val="tr-TR"/>
        </w:rPr>
        <w:t xml:space="preserve"> Suda az çözünen bazı tuzların 25 °C’deki çözünürlük çarpımları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hiç çözünmeyen tuz yoktur. Çözünürlüğü çok düşük olan tuzlara günlük dilde “suda çözünmez” dense de bu tuzların çok küçük bir miktarı suda çözünür.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w:t>
      </w:r>
      <w:r>
        <w:rPr>
          <w:rFonts w:ascii="Times New Roman" w:hAnsi="Times New Roman" w:cs="Times New Roman"/>
          <w:b/>
          <w:bCs/>
          <w:lang w:val="tr-TR"/>
        </w:rPr>
        <w:t xml:space="preserve">doymuş</w:t>
      </w:r>
      <w:r>
        <w:rPr>
          <w:rFonts w:ascii="Times New Roman" w:hAnsi="Times New Roman" w:cs="Times New Roman"/>
          <w:lang w:val="tr-TR"/>
        </w:rPr>
        <w:t xml:space="preserve"> hâldedir ve katı ile çözeltideki iyonları arasında </w:t>
      </w:r>
      <w:r>
        <w:rPr>
          <w:rFonts w:ascii="Times New Roman" w:hAnsi="Times New Roman" w:cs="Times New Roman"/>
          <w:b/>
          <w:bCs/>
          <w:lang w:val="tr-TR"/>
        </w:rPr>
        <w:t xml:space="preserve">çözünürlük dengesi</w:t>
      </w:r>
      <w:r>
        <w:rPr>
          <w:rFonts w:ascii="Times New Roman" w:hAnsi="Times New Roman" w:cs="Times New Roman"/>
          <w:lang w:val="tr-TR"/>
        </w:rPr>
        <w:t xml:space="preserve">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Belirli bir sıcaklıkta çözebileceğinden daha az madde çözmüş olan çözeltiye </w:t>
      </w:r>
      <w:r>
        <w:rPr>
          <w:rFonts w:ascii="Times New Roman" w:hAnsi="Times New Roman" w:cs="Times New Roman"/>
          <w:b/>
          <w:bCs/>
          <w:lang w:val="tr-TR"/>
        </w:rPr>
        <w:t xml:space="preserve">doymamış çözelti</w:t>
      </w:r>
      <w:r>
        <w:rPr>
          <w:rFonts w:ascii="Times New Roman" w:hAnsi="Times New Roman" w:cs="Times New Roman"/>
          <w:lang w:val="tr-TR"/>
        </w:rPr>
        <w:t xml:space="preserve">, çözebileceği en fazla maddeyi çözmüş çözeltiye </w:t>
      </w:r>
      <w:r>
        <w:rPr>
          <w:rFonts w:ascii="Times New Roman" w:hAnsi="Times New Roman" w:cs="Times New Roman"/>
          <w:b/>
          <w:bCs/>
          <w:lang w:val="tr-TR"/>
        </w:rPr>
        <w:t xml:space="preserve">doymuş çözelti</w:t>
      </w:r>
      <w:r>
        <w:rPr>
          <w:rFonts w:ascii="Times New Roman" w:hAnsi="Times New Roman" w:cs="Times New Roman"/>
          <w:lang w:val="tr-TR"/>
        </w:rPr>
        <w:t xml:space="preserve"> denir. Bazı durumlarda, örneğin sıcakta hazırlanmış doymuş bir çözelti dikkatlice soğutulduğunda, çözelti çözünürlüğünden daha fazla madde içerebilir. Bu kararsız çözeltilere </w:t>
      </w:r>
      <w:r>
        <w:rPr>
          <w:rFonts w:ascii="Times New Roman" w:hAnsi="Times New Roman" w:cs="Times New Roman"/>
          <w:b/>
          <w:bCs/>
          <w:lang w:val="tr-TR"/>
        </w:rPr>
        <w:t xml:space="preserve">aşırı doymuş çözelti</w:t>
      </w:r>
      <w:r>
        <w:rPr>
          <w:rFonts w:ascii="Times New Roman" w:hAnsi="Times New Roman" w:cs="Times New Roman"/>
          <w:lang w:val="tr-TR"/>
        </w:rPr>
        <w:t xml:space="preserve">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yer almaz.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Molar çözünürlük s ile gösterilirse 1 litrede s mol tuz çözündüğünde iyon derişimleri tuzun formülündeki katsayılara göre belirlenir. Örneğin AgCl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(iyon sayısı aynı olan) tuzlar karşılaştırılırken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AgCl’ninkinden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AgCl’ninkinden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