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2.3.2. Tuzların Çözünürlüğüne Etki Eden Faktörler</w:t>
      </w:r>
    </w:p>
    <w:p>
      <w:pPr>
        <w:jc w:val="both"/>
        <w:rPr>
          <w:rFonts w:ascii="Times New Roman" w:hAnsi="Times New Roman" w:cs="Times New Roman"/>
          <w:lang w:val="tr-TR"/>
        </w:rPr>
      </w:pPr>
      <w:r>
        <w:rPr>
          <w:rFonts w:ascii="Times New Roman" w:hAnsi="Times New Roman" w:cs="Times New Roman"/>
          <w:lang w:val="tr-TR"/>
        </w:rPr>
        <w:t xml:space="preserve">Çaydanlıkların ve su ısıtıcılarının iç yüzeyinde zamanla beyaz bir kireç tabakası oluşur (Görsel A). Laboratuvarda hazırlanan berrak kireç suyu ısıtıldığında bulanıklaşır. Doymuş sodyum klorür çözeltisine bir miktar derişik hidroklorik asit eklendiğinde ise kabın dibinde beyaz kristaller belirir. Bu olaylarda suda çözünmüş hâldeki bir tuzun bir kısmı katı hâline geçmektedir. Önceki konuda suda az çözünen tuzların doymuş çözeltilerinde dinamik bir denge kurulduğunu öğrendiniz. Peki bu dengeyi etkileyen faktörler nelerdir? Sıcaklık ya da çözeltiye eklenen başka bir madde bir tuzun çözünürlüğünü nasıl değiştirir? Bir etkinlik yaparak keşfediniz.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(Shutterstock’tan seçilecek)</w:t>
            </w:r>
          </w:p>
          <w:p>
            <w:pPr>
              <w:jc w:val="both"/>
              <w:rPr>
                <w:rFonts w:ascii="Times New Roman" w:hAnsi="Times New Roman" w:cs="Times New Roman"/>
                <w:lang w:val="tr-TR"/>
              </w:rPr>
            </w:pPr>
            <w:r>
              <w:rPr>
                <w:rFonts w:ascii="Times New Roman" w:hAnsi="Times New Roman" w:cs="Times New Roman"/>
                <w:lang w:val="tr-TR"/>
              </w:rPr>
              <w:t xml:space="preserve">Tarif: Elektrikli su ısıtıcısının (kettle) iç yüzeyinde ve rezistansında biriken beyaz kireç tabakası; yakın çekim, marka görünmeyen.</w:t>
            </w:r>
          </w:p>
          <w:p>
            <w:pPr>
              <w:jc w:val="both"/>
              <w:rPr>
                <w:rFonts w:ascii="Times New Roman" w:hAnsi="Times New Roman" w:cs="Times New Roman"/>
                <w:lang w:val="tr-TR"/>
              </w:rPr>
            </w:pPr>
            <w:r>
              <w:rPr>
                <w:rFonts w:ascii="Times New Roman" w:hAnsi="Times New Roman" w:cs="Times New Roman"/>
                <w:lang w:val="tr-TR"/>
              </w:rPr>
              <w:t xml:space="preserve">Shutterstock arama: “limescale kettle inside”</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Su ısıtıcısında biriken kireç</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2.14.</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önlük, gözlük, eldiven ve deney tüpünü ısıtırken ağzını kimseye doğrultmama uyarıları eklensin. Derişik HCl ile yapılan deney öğretmen tarafından gösteri deneyi olarak çeker ocakta yapılmalıdır.</w:t>
      </w:r>
    </w:p>
    <w:p>
      <w:pPr>
        <w:jc w:val="both"/>
        <w:rPr>
          <w:rFonts w:ascii="Times New Roman" w:hAnsi="Times New Roman" w:cs="Times New Roman"/>
          <w:lang w:val="tr-TR"/>
        </w:rPr>
      </w:pPr>
      <w:r>
        <w:rPr>
          <w:rFonts w:ascii="Times New Roman" w:hAnsi="Times New Roman" w:cs="Times New Roman"/>
          <w:b/>
          <w:bCs/>
          <w:lang w:val="tr-TR"/>
        </w:rPr>
        <w:t xml:space="preserve">1. Aşama: Gözlem Ortamlarının Oluşturulması</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Suda az çözünen tuzların çözünürlüğüne etki eden faktörleri gözlemleyebileceğiniz farklı ortamlar oluşturunuz. Bunun için aşağıdaki deneyleri yapabilir, deney videolarını izleyebilir ya da sanal laboratuvar uygulamalarını kullanabilirsiniz. Kullandığınız dijital kaynakların güvenilir olmasına dikkat ediniz. Gözlemlerinizi tabloya kaydediniz.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Gözlem ortamı önerileri</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Deney 1 (Sıcaklık):</w:t>
            </w:r>
            <w:r>
              <w:rPr>
                <w:rFonts w:ascii="Times New Roman" w:hAnsi="Times New Roman" w:cs="Times New Roman"/>
                <w:lang w:val="tr-TR"/>
              </w:rPr>
              <w:t xml:space="preserve"> Bir deney tüpünün yarısına kadar berrak kireç suyu [doymuş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 koyunuz. Tüpü maşayla tutarak ispirto ocağında hafifçe ısıtınız. Çözeltinin görünümündeki değişimi gözlemleyiniz. Tüpü soğumaya bırakarak birkaç dakika sonra yeniden gözlemleyiniz.</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Deney 2 (Ortak iyon – öğretmen gösterisi):</w:t>
            </w:r>
            <w:r>
              <w:rPr>
                <w:rFonts w:ascii="Times New Roman" w:hAnsi="Times New Roman" w:cs="Times New Roman"/>
                <w:lang w:val="tr-TR"/>
              </w:rPr>
              <w:t xml:space="preserve"> Bir beherdeki doymuş sodyum klorür (NaCl) çözeltisine damlalıkla birkaç mililitre derişik hidroklorik asit (HCl) çözeltisi ekleyiniz. Beherde meydana gelen değişimi gözlemleyiniz.</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Video (Sıcaklık):</w:t>
            </w:r>
            <w:r>
              <w:rPr>
                <w:rFonts w:ascii="Times New Roman" w:hAnsi="Times New Roman" w:cs="Times New Roman"/>
                <w:lang w:val="tr-TR"/>
              </w:rPr>
              <w:t xml:space="preserve"> Kurşun(II) iyodür (PbI</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çözeltisinin sıcakta berrak olup soğutulduğunda parlak sarı kristallerin oluştuğu “altın yağmuru” deneyinin videosunu izleyiniz. (Kurşun bileşikleri zehirli olduğundan bu deney okulda yapılmamalıdır.)</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200"/>
        <w:gridCol w:w="2800"/>
        <w:gridCol w:w="22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Gözlem ortamı</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Değiştirilen faktör</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Gözlem</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Çözünürlük nasıl değişti?</w:t>
            </w:r>
          </w:p>
        </w:tc>
      </w:tr>
      <w:tr>
        <w:trPr>
          <w:trHeight w:val="6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Deney 1</w:t>
            </w:r>
          </w:p>
        </w:tc>
        <w:tc>
          <w:tcPr>
            <w:tcW w:w="22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6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Deney 2</w:t>
            </w:r>
          </w:p>
        </w:tc>
        <w:tc>
          <w:tcPr>
            <w:tcW w:w="22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6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Video</w:t>
            </w:r>
          </w:p>
        </w:tc>
        <w:tc>
          <w:tcPr>
            <w:tcW w:w="22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Veri Setinin İncelenmesi</w:t>
      </w:r>
    </w:p>
    <w:p>
      <w:pPr>
        <w:jc w:val="both"/>
        <w:rPr>
          <w:rFonts w:ascii="Times New Roman" w:hAnsi="Times New Roman" w:cs="Times New Roman"/>
          <w:lang w:val="tr-TR"/>
        </w:rPr>
      </w:pPr>
      <w:r>
        <w:rPr>
          <w:rFonts w:ascii="Times New Roman" w:hAnsi="Times New Roman" w:cs="Times New Roman"/>
          <w:lang w:val="tr-TR"/>
        </w:rPr>
        <w:t xml:space="preserve">Aşağıdaki Tablo 1’de AgCl tuzunun 25 °C’de saf suda ve farklı derişimlerdeki NaCl çözeltilerinde molar çözünürlükleri verilmiştir. Tablo 2’de ise çözünme süreçleri farklı olan XY ve ZW tuzlarının farklı sıcaklıklardaki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ve molar çözünürlükleri yer almaktadır.</w:t>
      </w:r>
    </w:p>
    <w:p>
      <w:pPr>
        <w:jc w:val="center"/>
        <w:rPr>
          <w:rFonts w:ascii="Times New Roman" w:hAnsi="Times New Roman" w:cs="Times New Roman"/>
          <w:lang w:val="tr-TR"/>
        </w:rPr>
      </w:pPr>
      <w:r>
        <w:rPr>
          <w:rFonts w:ascii="Times New Roman" w:hAnsi="Times New Roman" w:cs="Times New Roman"/>
          <w:b/>
          <w:bCs/>
          <w:lang w:val="tr-TR"/>
        </w:rPr>
        <w:t xml:space="preserve">Tablo 1:</w:t>
      </w:r>
      <w:r>
        <w:rPr>
          <w:rFonts w:ascii="Times New Roman" w:hAnsi="Times New Roman" w:cs="Times New Roman"/>
          <w:lang w:val="tr-TR"/>
        </w:rPr>
        <w:t xml:space="preserve"> AgCl’nin 25 °C’de farklı ortamlardaki molar çözünürlüğü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-10</w:t>
      </w: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3200"/>
        <w:gridCol w:w="32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Çözücü ortam</w:t>
            </w:r>
          </w:p>
        </w:tc>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Başlangıçtaki [Cl</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AgCl’nin molar çözünürlüğü (mol/L)</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Saf su</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1,3·10</w:t>
            </w:r>
            <w:r>
              <w:rPr>
                <w:rFonts w:ascii="Times New Roman" w:hAnsi="Times New Roman" w:cs="Times New Roman"/>
                <w:vertAlign w:val="superscript"/>
                <w:lang w:val="tr-TR"/>
              </w:rPr>
              <w:t xml:space="preserve">-5</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0,001 M NaCl</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0,001</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-7</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 M NaCl</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-8</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 M NaCl</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-9</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Tablo 2:</w:t>
      </w:r>
      <w:r>
        <w:rPr>
          <w:rFonts w:ascii="Times New Roman" w:hAnsi="Times New Roman" w:cs="Times New Roman"/>
          <w:lang w:val="tr-TR"/>
        </w:rPr>
        <w:t xml:space="preserve"> XY ve ZW tuzlarının farklı sıcaklıklardaki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ve molar çözünürlükleri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600"/>
        <w:gridCol w:w="1850"/>
        <w:gridCol w:w="1850"/>
        <w:gridCol w:w="1850"/>
        <w:gridCol w:w="1850"/>
      </w:tblGrid>
      <w:tr>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Sıcaklık (°C)</w:t>
            </w:r>
          </w:p>
        </w:tc>
        <w:tc>
          <w:tcPr>
            <w:tcW w:w="18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XY: K</w:t>
            </w:r>
            <w:r>
              <w:rPr>
                <w:rFonts w:ascii="Times New Roman" w:hAnsi="Times New Roman" w:cs="Times New Roman"/>
                <w:b/>
                <w:bCs/>
                <w:vertAlign w:val="subscript"/>
                <w:lang w:val="tr-TR"/>
              </w:rPr>
              <w:t xml:space="preserve">çç</w:t>
            </w:r>
          </w:p>
        </w:tc>
        <w:tc>
          <w:tcPr>
            <w:tcW w:w="18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XY: s (mol/L)</w:t>
            </w:r>
          </w:p>
        </w:tc>
        <w:tc>
          <w:tcPr>
            <w:tcW w:w="18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ZW: K</w:t>
            </w:r>
            <w:r>
              <w:rPr>
                <w:rFonts w:ascii="Times New Roman" w:hAnsi="Times New Roman" w:cs="Times New Roman"/>
                <w:b/>
                <w:bCs/>
                <w:vertAlign w:val="subscript"/>
                <w:lang w:val="tr-TR"/>
              </w:rPr>
              <w:t xml:space="preserve">çç</w:t>
            </w:r>
          </w:p>
        </w:tc>
        <w:tc>
          <w:tcPr>
            <w:tcW w:w="18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ZW: s (mol/L)</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-10</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-5</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4,0·10</w:t>
            </w:r>
            <w:r>
              <w:rPr>
                <w:rFonts w:ascii="Times New Roman" w:hAnsi="Times New Roman" w:cs="Times New Roman"/>
                <w:vertAlign w:val="superscript"/>
                <w:lang w:val="tr-TR"/>
              </w:rPr>
              <w:t xml:space="preserve">-6</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2,0·10</w:t>
            </w:r>
            <w:r>
              <w:rPr>
                <w:rFonts w:ascii="Times New Roman" w:hAnsi="Times New Roman" w:cs="Times New Roman"/>
                <w:vertAlign w:val="superscript"/>
                <w:lang w:val="tr-TR"/>
              </w:rPr>
              <w:t xml:space="preserve">-3</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25</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2,5·10</w:t>
            </w:r>
            <w:r>
              <w:rPr>
                <w:rFonts w:ascii="Times New Roman" w:hAnsi="Times New Roman" w:cs="Times New Roman"/>
                <w:vertAlign w:val="superscript"/>
                <w:lang w:val="tr-TR"/>
              </w:rPr>
              <w:t xml:space="preserve">-10</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1,6·10</w:t>
            </w:r>
            <w:r>
              <w:rPr>
                <w:rFonts w:ascii="Times New Roman" w:hAnsi="Times New Roman" w:cs="Times New Roman"/>
                <w:vertAlign w:val="superscript"/>
                <w:lang w:val="tr-TR"/>
              </w:rPr>
              <w:t xml:space="preserve">-5</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2,5·10</w:t>
            </w:r>
            <w:r>
              <w:rPr>
                <w:rFonts w:ascii="Times New Roman" w:hAnsi="Times New Roman" w:cs="Times New Roman"/>
                <w:vertAlign w:val="superscript"/>
                <w:lang w:val="tr-TR"/>
              </w:rPr>
              <w:t xml:space="preserve">-6</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1,6·10</w:t>
            </w:r>
            <w:r>
              <w:rPr>
                <w:rFonts w:ascii="Times New Roman" w:hAnsi="Times New Roman" w:cs="Times New Roman"/>
                <w:vertAlign w:val="superscript"/>
                <w:lang w:val="tr-TR"/>
              </w:rPr>
              <w:t xml:space="preserve">-3</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6,0·10</w:t>
            </w:r>
            <w:r>
              <w:rPr>
                <w:rFonts w:ascii="Times New Roman" w:hAnsi="Times New Roman" w:cs="Times New Roman"/>
                <w:vertAlign w:val="superscript"/>
                <w:lang w:val="tr-TR"/>
              </w:rPr>
              <w:t xml:space="preserve">-10</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2,4·10</w:t>
            </w:r>
            <w:r>
              <w:rPr>
                <w:rFonts w:ascii="Times New Roman" w:hAnsi="Times New Roman" w:cs="Times New Roman"/>
                <w:vertAlign w:val="superscript"/>
                <w:lang w:val="tr-TR"/>
              </w:rPr>
              <w:t xml:space="preserve">-5</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1,6·10</w:t>
            </w:r>
            <w:r>
              <w:rPr>
                <w:rFonts w:ascii="Times New Roman" w:hAnsi="Times New Roman" w:cs="Times New Roman"/>
                <w:vertAlign w:val="superscript"/>
                <w:lang w:val="tr-TR"/>
              </w:rPr>
              <w:t xml:space="preserve">-6</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1,3·10</w:t>
            </w:r>
            <w:r>
              <w:rPr>
                <w:rFonts w:ascii="Times New Roman" w:hAnsi="Times New Roman" w:cs="Times New Roman"/>
                <w:vertAlign w:val="superscript"/>
                <w:lang w:val="tr-TR"/>
              </w:rPr>
              <w:t xml:space="preserve">-3</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60</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1,6·10</w:t>
            </w:r>
            <w:r>
              <w:rPr>
                <w:rFonts w:ascii="Times New Roman" w:hAnsi="Times New Roman" w:cs="Times New Roman"/>
                <w:vertAlign w:val="superscript"/>
                <w:lang w:val="tr-TR"/>
              </w:rPr>
              <w:t xml:space="preserve">-9</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4,0·10</w:t>
            </w:r>
            <w:r>
              <w:rPr>
                <w:rFonts w:ascii="Times New Roman" w:hAnsi="Times New Roman" w:cs="Times New Roman"/>
                <w:vertAlign w:val="superscript"/>
                <w:lang w:val="tr-TR"/>
              </w:rPr>
              <w:t xml:space="preserve">-5</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9,0·10</w:t>
            </w:r>
            <w:r>
              <w:rPr>
                <w:rFonts w:ascii="Times New Roman" w:hAnsi="Times New Roman" w:cs="Times New Roman"/>
                <w:vertAlign w:val="superscript"/>
                <w:lang w:val="tr-TR"/>
              </w:rPr>
              <w:t xml:space="preserve">-7</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9,5·10</w:t>
            </w:r>
            <w:r>
              <w:rPr>
                <w:rFonts w:ascii="Times New Roman" w:hAnsi="Times New Roman" w:cs="Times New Roman"/>
                <w:vertAlign w:val="superscript"/>
                <w:lang w:val="tr-TR"/>
              </w:rPr>
              <w:t xml:space="preserve">-4</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 2’deki XY ve ZW tuzlarına ait veriler öğretim amaçlı hazırlanmış verilerdir (K</w:t>
      </w:r>
      <w:r>
        <w:rPr>
          <w:rFonts w:ascii="Times New Roman" w:hAnsi="Times New Roman" w:cs="Times New Roman"/>
          <w:highlight w:val="yellow"/>
          <w:vertAlign w:val="subscript"/>
          <w:lang w:val="tr-TR"/>
        </w:rPr>
        <w:t xml:space="preserve">çç</w:t>
      </w:r>
      <w:r>
        <w:rPr>
          <w:rFonts w:ascii="Times New Roman" w:hAnsi="Times New Roman" w:cs="Times New Roman"/>
          <w:highlight w:val="yellow"/>
          <w:lang w:val="tr-TR"/>
        </w:rPr>
        <w:t xml:space="preserve"> = s</w:t>
      </w:r>
      <w:r>
        <w:rPr>
          <w:rFonts w:ascii="Times New Roman" w:hAnsi="Times New Roman" w:cs="Times New Roman"/>
          <w:highlight w:val="yellow"/>
          <w:vertAlign w:val="superscript"/>
          <w:lang w:val="tr-TR"/>
        </w:rPr>
        <w:t xml:space="preserve">2</w:t>
      </w:r>
      <w:r>
        <w:rPr>
          <w:rFonts w:ascii="Times New Roman" w:hAnsi="Times New Roman" w:cs="Times New Roman"/>
          <w:highlight w:val="yellow"/>
          <w:lang w:val="tr-TR"/>
        </w:rPr>
        <w:t xml:space="preserve"> ilişkisine uygun olarak hesaplanmıştır). Tablo 1’deki değerler AgCl’nin gerçek K</w:t>
      </w:r>
      <w:r>
        <w:rPr>
          <w:rFonts w:ascii="Times New Roman" w:hAnsi="Times New Roman" w:cs="Times New Roman"/>
          <w:highlight w:val="yellow"/>
          <w:vertAlign w:val="subscript"/>
          <w:lang w:val="tr-TR"/>
        </w:rPr>
        <w:t xml:space="preserve">çç</w:t>
      </w:r>
      <w:r>
        <w:rPr>
          <w:rFonts w:ascii="Times New Roman" w:hAnsi="Times New Roman" w:cs="Times New Roman"/>
          <w:highlight w:val="yellow"/>
          <w:lang w:val="tr-TR"/>
        </w:rPr>
        <w:t xml:space="preserve"> değerinden hesaplanmıştır.</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Tablo 1’deki verileri kullanarak çözeltide tuzun iyonlarından biriyle ortak iyon bulunmasının tuzun çözünürlüğüne etkisine ilişkin çıkarımda bulununuz.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Tablo 1’deki ortamların hepsinde AgCl’nin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aynı mıdır? Çözünürlük değiştiği hâlde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’nin değişmemesini nasıl açıklarsınız?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Tablo 2’deki verileri kullanarak sıcaklığın XY ve ZW tuzlarının çözünürlüğüne etkisine ilişkin çıkarımlarda bulununuz. Bu iki tuzun çözünme olaylarından hangisi endotermik, hangisi ekzotermik olabilir? Gerekçelendiriniz.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1. Aşamada gözlemlediğiniz kireç suyunun ısıtılınca bulanıklaşmasını Tablo 2’deki tuzlardan hangisinin davranışına benzetirsiniz?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Çıkarımlarınızı Le Chatelier ilkesi ile ilişkilendirerek açıklayınız. Çıkarımlarınızı etkili iletişim becerilerinizi kullanarak sınıfınızda paylaşınız; arkadaşlarınızın farklı çıkarımlarını saygıyla dinleyiniz ve sorumluluk alarak grubunuzun ortak sonucunu sununuz.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Suda az çözünen bir tuzun doymuş çözeltisinde kurulan çözünürlük dengesi, diğer denge sistemleri gibi dış etkilere tepki verir. Le Chatelier ilkesine göre dengedeki bir sisteme dışarıdan bir etki yapıldığında sistem bu etkiyi azaltacak yönde kayar. Suda az çözünen tuzların çözünürlüğüne etki eden başlıca faktörler </w:t>
      </w:r>
      <w:r>
        <w:rPr>
          <w:rFonts w:ascii="Times New Roman" w:hAnsi="Times New Roman" w:cs="Times New Roman"/>
          <w:b/>
          <w:bCs/>
          <w:lang w:val="tr-TR"/>
        </w:rPr>
        <w:t xml:space="preserve">ortak iyon</w:t>
      </w:r>
      <w:r>
        <w:rPr>
          <w:rFonts w:ascii="Times New Roman" w:hAnsi="Times New Roman" w:cs="Times New Roman"/>
          <w:lang w:val="tr-TR"/>
        </w:rPr>
        <w:t xml:space="preserve"> ve </w:t>
      </w:r>
      <w:r>
        <w:rPr>
          <w:rFonts w:ascii="Times New Roman" w:hAnsi="Times New Roman" w:cs="Times New Roman"/>
          <w:b/>
          <w:bCs/>
          <w:lang w:val="tr-TR"/>
        </w:rPr>
        <w:t xml:space="preserve">sıcaklıktır</w:t>
      </w:r>
      <w:r>
        <w:rPr>
          <w:rFonts w:ascii="Times New Roman" w:hAnsi="Times New Roman" w:cs="Times New Roman"/>
          <w:lang w:val="tr-TR"/>
        </w:rPr>
        <w:t xml:space="preserve">.</w:t>
      </w:r>
    </w:p>
    <w:p>
      <w:pPr>
        <w:keepNext/>
        <w:jc w:val="both"/>
        <w:rPr>
          <w:rFonts w:ascii="Times New Roman" w:hAnsi="Times New Roman" w:cs="Times New Roman"/>
          <w:lang w:val="tr-TR"/>
        </w:rPr>
      </w:pPr>
      <w:r>
        <w:rPr>
          <w:rFonts w:ascii="Times New Roman" w:hAnsi="Times New Roman" w:cs="Times New Roman"/>
          <w:b/>
          <w:bCs/>
          <w:lang w:val="tr-TR"/>
        </w:rPr>
        <w:t xml:space="preserve">Ortak İyon Etkisi</w:t>
      </w:r>
    </w:p>
    <w:p>
      <w:pPr>
        <w:jc w:val="both"/>
        <w:rPr>
          <w:rFonts w:ascii="Times New Roman" w:hAnsi="Times New Roman" w:cs="Times New Roman"/>
          <w:lang w:val="tr-TR"/>
        </w:rPr>
      </w:pPr>
      <w:r>
        <w:rPr>
          <w:rFonts w:ascii="Times New Roman" w:hAnsi="Times New Roman" w:cs="Times New Roman"/>
          <w:lang w:val="tr-TR"/>
        </w:rPr>
        <w:t xml:space="preserve">Suda az çözünen bir tuzun doymuş çözeltisine, tuzun iyonlarından birini içeren ve suda iyi çözünen başka bir madde eklendiğinde bu iyonun derişimi artar. Örneğin doymuş AgCl çözeltisine NaCl eklendiğinde Cl</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derişimi artar. Le Chatelier ilkesine göre denge, artan Cl</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derişimini azaltacak yönde, yani çökelme yönünde kayar:</w:t>
      </w:r>
    </w:p>
    <w:p>
      <w:pPr>
        <w:jc w:val="center"/>
        <w:rPr>
          <w:rFonts w:ascii="Times New Roman" w:hAnsi="Times New Roman" w:cs="Times New Roman"/>
          <w:lang w:val="tr-TR"/>
        </w:rPr>
      </w:pPr>
      <w:r>
        <w:rPr>
          <w:rFonts w:ascii="Times New Roman" w:hAnsi="Times New Roman" w:cs="Times New Roman"/>
          <w:lang w:val="tr-TR"/>
        </w:rPr>
        <w:t xml:space="preserve">AgCl(k)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denge bu yöne kayar</w:t>
      </w:r>
    </w:p>
    <w:p>
      <w:pPr>
        <w:jc w:val="both"/>
        <w:rPr>
          <w:rFonts w:ascii="Times New Roman" w:hAnsi="Times New Roman" w:cs="Times New Roman"/>
          <w:lang w:val="tr-TR"/>
        </w:rPr>
      </w:pPr>
      <w:r>
        <w:rPr>
          <w:rFonts w:ascii="Times New Roman" w:hAnsi="Times New Roman" w:cs="Times New Roman"/>
          <w:lang w:val="tr-TR"/>
        </w:rPr>
        <w:t xml:space="preserve">Bunun sonucunda bir miktar AgCl çöker ve AgCl’nin çözünürlüğü azalır. Ortak iyon içeren bir çözeltide tuzun çözünürlüğünün saf sudakinden daha az olmasına </w:t>
      </w:r>
      <w:r>
        <w:rPr>
          <w:rFonts w:ascii="Times New Roman" w:hAnsi="Times New Roman" w:cs="Times New Roman"/>
          <w:b/>
          <w:bCs/>
          <w:lang w:val="tr-TR"/>
        </w:rPr>
        <w:t xml:space="preserve">ortak iyon etkisi</w:t>
      </w:r>
      <w:r>
        <w:rPr>
          <w:rFonts w:ascii="Times New Roman" w:hAnsi="Times New Roman" w:cs="Times New Roman"/>
          <w:lang w:val="tr-TR"/>
        </w:rPr>
        <w:t xml:space="preserve"> denir (Grafik A). Ortak iyon etkisi tuzun çözünürlüğünü değiştirir ancak sıcaklık sabit olduğu için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değerini değiştirmez. Doymuş NaCl çözeltisine derişik HCl eklendiğinde beyaz NaCl kristallerinin çökmesi de ortak iyon (Cl</w:t>
      </w:r>
      <w:r>
        <w:rPr>
          <w:rFonts w:ascii="Times New Roman" w:hAnsi="Times New Roman" w:cs="Times New Roman"/>
          <w:vertAlign w:val="superscript"/>
          <w:lang w:val="tr-TR"/>
        </w:rPr>
        <w:t xml:space="preserve">−</w:t>
      </w:r>
      <w:r>
        <w:rPr>
          <w:rFonts w:ascii="Times New Roman" w:hAnsi="Times New Roman" w:cs="Times New Roman"/>
          <w:lang w:val="tr-TR"/>
        </w:rPr>
        <w:t xml:space="preserve">) etkisiyle açıklanır.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620800"/>
            <wp:docPr id="900002" name="Grafik 900002" descr="Ortak iyon etkisi"/>
            <wp:cNvGraphicFramePr>
              <a:graphicFrameLocks noChangeAspect="1"/>
            </wp:cNvGraphicFramePr>
            <a:graphic>
              <a:graphicData uri="http://schemas.openxmlformats.org/drawingml/2006/picture">
                <pic:pic>
                  <pic:nvPicPr>
                    <pic:cNvPr id="900002" name="k11_900002.png"/>
                    <pic:cNvPicPr/>
                  </pic:nvPicPr>
                  <pic:blipFill>
                    <a:blip r:embed="rIdK1"/>
                    <a:stretch>
                      <a:fillRect/>
                    </a:stretch>
                  </pic:blipFill>
                  <pic:spPr>
                    <a:xfrm>
                      <a:off x="0" y="0"/>
                      <a:ext cx="4680000" cy="26208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AgCl’nin 25 °C’de saf suda ve farklı derişimlerdeki NaCl çözeltilerindeki molar çözünürlüğü (logaritmik ölçek)</w:t>
      </w:r>
    </w:p>
    <w:p>
      <w:pPr>
        <w:keepNext/>
        <w:jc w:val="both"/>
        <w:rPr>
          <w:rFonts w:ascii="Times New Roman" w:hAnsi="Times New Roman" w:cs="Times New Roman"/>
          <w:lang w:val="tr-TR"/>
        </w:rPr>
      </w:pPr>
      <w:r>
        <w:rPr>
          <w:rFonts w:ascii="Times New Roman" w:hAnsi="Times New Roman" w:cs="Times New Roman"/>
          <w:b/>
          <w:bCs/>
          <w:lang w:val="tr-TR"/>
        </w:rPr>
        <w:t xml:space="preserve">Sıcaklık</w:t>
      </w:r>
    </w:p>
    <w:p>
      <w:pPr>
        <w:jc w:val="both"/>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yalnızca sıcaklıkla değişir. Sıcaklığın çözünürlüğe etkisi, tuzun çözünme olayının endotermik ya da ekzotermik olmasına bağlıdır. Çözünmesi endotermik olan tuzlarda ısı, çözünme denkleminde girenler tarafında düşünülebilir:</w:t>
      </w:r>
    </w:p>
    <w:p>
      <w:pPr>
        <w:jc w:val="center"/>
        <w:rPr>
          <w:rFonts w:ascii="Times New Roman" w:hAnsi="Times New Roman" w:cs="Times New Roman"/>
          <w:lang w:val="tr-TR"/>
        </w:rPr>
      </w:pPr>
      <w:r>
        <w:rPr>
          <w:rFonts w:ascii="Times New Roman" w:hAnsi="Times New Roman" w:cs="Times New Roman"/>
          <w:lang w:val="tr-TR"/>
        </w:rPr>
        <w:t xml:space="preserve">XY(k) + ısı ⇌ X</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Y</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Sıcaklık artırıldığında denge, verilen ısıyı harcayacak yönde (çözünme yönünde) kayar;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ve çözünürlük artar. Tuzların çoğunun çözünmesi endotermiktir ve çözünürlükleri sıcaklıkla artar. PbI</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çözeltisinin sıcakta berrak olup soğutulunca sarı kristallerin oluşması bu duruma bir örnektir. Çözünmesi ekzotermik olan tuzlarda ise sıcaklık artışı dengeyi çökelme yönüne kaydırır;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ve çözünürlük azalır. Suda az çözünen bir baz olan kalsiyum hidroksit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bu davranışa örnektir; bu nedenle berrak kireç suyu ısıtıldığında bulanıklaşır.</w:t>
      </w:r>
    </w:p>
    <w:p>
      <w:pPr>
        <w:jc w:val="both"/>
        <w:rPr>
          <w:rFonts w:ascii="Times New Roman" w:hAnsi="Times New Roman" w:cs="Times New Roman"/>
          <w:lang w:val="tr-TR"/>
        </w:rPr>
      </w:pPr>
      <w:r>
        <w:rPr>
          <w:rFonts w:ascii="Times New Roman" w:hAnsi="Times New Roman" w:cs="Times New Roman"/>
          <w:lang w:val="tr-TR"/>
        </w:rPr>
        <w:t xml:space="preserve">Çaydanlıklarda kireç birikmesi, suda çözünmüş Ca</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ısıtma sırasında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hâlinde çökmesiyle gerçekleşir. Bu olayda ısıtmayla sudan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gazının uzaklaşması da dengeyi çökelme yönüne kaydırır.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2.26.</w:t>
      </w:r>
    </w:p>
    <w:p>
      <w:pPr>
        <w:jc w:val="both"/>
        <w:rPr>
          <w:rFonts w:ascii="Times New Roman" w:hAnsi="Times New Roman" w:cs="Times New Roman"/>
          <w:lang w:val="tr-TR"/>
        </w:rPr>
      </w:pPr>
      <w:r>
        <w:rPr>
          <w:rFonts w:ascii="Times New Roman" w:hAnsi="Times New Roman" w:cs="Times New Roman"/>
          <w:lang w:val="tr-TR"/>
        </w:rPr>
        <w:t xml:space="preserve">25 °C’de AgCl’nin 0,10 mol/L NaCl çözeltisindeki molar çözünürlüğünü hesaplayınız ve saf sudaki molar çözünürlüğü ile karşılaştırınız. (AgCl için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-10</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NaCl tamamen iyonlaştığından çözeltide başlangıçta [Cl</w:t>
      </w:r>
      <w:r>
        <w:rPr>
          <w:rFonts w:ascii="Times New Roman" w:hAnsi="Times New Roman" w:cs="Times New Roman"/>
          <w:vertAlign w:val="superscript"/>
          <w:lang w:val="tr-TR"/>
        </w:rPr>
        <w:t xml:space="preserve">−</w:t>
      </w:r>
      <w:r>
        <w:rPr>
          <w:rFonts w:ascii="Times New Roman" w:hAnsi="Times New Roman" w:cs="Times New Roman"/>
          <w:lang w:val="tr-TR"/>
        </w:rPr>
        <w:t xml:space="preserve">] = 0,10 mol/L’dir. AgCl’nin bu çözeltideki molar çözünürlüğü s ise dengede [Ag</w:t>
      </w:r>
      <w:r>
        <w:rPr>
          <w:rFonts w:ascii="Times New Roman" w:hAnsi="Times New Roman" w:cs="Times New Roman"/>
          <w:vertAlign w:val="superscript"/>
          <w:lang w:val="tr-TR"/>
        </w:rPr>
        <w:t xml:space="preserve">+</w:t>
      </w:r>
      <w:r>
        <w:rPr>
          <w:rFonts w:ascii="Times New Roman" w:hAnsi="Times New Roman" w:cs="Times New Roman"/>
          <w:lang w:val="tr-TR"/>
        </w:rPr>
        <w:t xml:space="preserve">] = s ve [Cl</w:t>
      </w:r>
      <w:r>
        <w:rPr>
          <w:rFonts w:ascii="Times New Roman" w:hAnsi="Times New Roman" w:cs="Times New Roman"/>
          <w:vertAlign w:val="superscript"/>
          <w:lang w:val="tr-TR"/>
        </w:rPr>
        <w:t xml:space="preserve">−</w:t>
      </w:r>
      <w:r>
        <w:rPr>
          <w:rFonts w:ascii="Times New Roman" w:hAnsi="Times New Roman" w:cs="Times New Roman"/>
          <w:lang w:val="tr-TR"/>
        </w:rPr>
        <w:t xml:space="preserve">] = 0,10 + s olur. s, 0,10 yanında çok küçük olduğundan 0,10 + s ≈ 0,10 alınabilir.</w:t>
      </w:r>
    </w:p>
    <w:p>
      <w:pPr>
        <w:jc w:val="both"/>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[Ag</w:t>
      </w:r>
      <w:r>
        <w:rPr>
          <w:rFonts w:ascii="Times New Roman" w:hAnsi="Times New Roman" w:cs="Times New Roman"/>
          <w:vertAlign w:val="superscript"/>
          <w:lang w:val="tr-TR"/>
        </w:rPr>
        <w:t xml:space="preserve">+</w:t>
      </w:r>
      <w:r>
        <w:rPr>
          <w:rFonts w:ascii="Times New Roman" w:hAnsi="Times New Roman" w:cs="Times New Roman"/>
          <w:lang w:val="tr-TR"/>
        </w:rPr>
        <w:t xml:space="preserve">][Cl</w:t>
      </w:r>
      <w:r>
        <w:rPr>
          <w:rFonts w:ascii="Times New Roman" w:hAnsi="Times New Roman" w:cs="Times New Roman"/>
          <w:vertAlign w:val="superscript"/>
          <w:lang w:val="tr-TR"/>
        </w:rPr>
        <w:t xml:space="preserve">−</w:t>
      </w:r>
      <w:r>
        <w:rPr>
          <w:rFonts w:ascii="Times New Roman" w:hAnsi="Times New Roman" w:cs="Times New Roman"/>
          <w:lang w:val="tr-TR"/>
        </w:rPr>
        <w:t xml:space="preserve">] = s · 0,10 = 1,8·10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   s = 1,8·10</w:t>
      </w:r>
      <w:r>
        <w:rPr>
          <w:rFonts w:ascii="Times New Roman" w:hAnsi="Times New Roman" w:cs="Times New Roman"/>
          <w:vertAlign w:val="superscript"/>
          <w:lang w:val="tr-TR"/>
        </w:rPr>
        <w:t xml:space="preserve">-9</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Saf sudaki molar çözünürlük 1,3·10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mol/L olduğundan AgCl’nin 0,10 M NaCl çözeltisindeki çözünürlüğü saf sudakinden yaklaşık 7000 kat daha azdır.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2.27.</w:t>
      </w:r>
    </w:p>
    <w:p>
      <w:pPr>
        <w:jc w:val="both"/>
        <w:rPr>
          <w:rFonts w:ascii="Times New Roman" w:hAnsi="Times New Roman" w:cs="Times New Roman"/>
          <w:lang w:val="tr-TR"/>
        </w:rPr>
      </w:pPr>
      <w:r>
        <w:rPr>
          <w:rFonts w:ascii="Times New Roman" w:hAnsi="Times New Roman" w:cs="Times New Roman"/>
          <w:lang w:val="tr-TR"/>
        </w:rPr>
        <w:t xml:space="preserve">25 °C’de Mg(OH)</w:t>
      </w:r>
      <w:r>
        <w:rPr>
          <w:rFonts w:ascii="Times New Roman" w:hAnsi="Times New Roman" w:cs="Times New Roman"/>
          <w:vertAlign w:val="subscript"/>
          <w:lang w:val="tr-TR"/>
        </w:rPr>
        <w:t xml:space="preserve">2</w:t>
      </w:r>
      <w:r>
        <w:rPr>
          <w:rFonts w:ascii="Times New Roman" w:hAnsi="Times New Roman" w:cs="Times New Roman"/>
          <w:lang w:val="tr-TR"/>
        </w:rPr>
        <w:t xml:space="preserve">’nin 0,010 mol/L MgCl</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çözeltisindeki molar çözünürlüğünü hesaplayınız.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için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-11</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Mg(OH)</w:t>
      </w:r>
      <w:r>
        <w:rPr>
          <w:rFonts w:ascii="Times New Roman" w:hAnsi="Times New Roman" w:cs="Times New Roman"/>
          <w:vertAlign w:val="subscript"/>
          <w:lang w:val="tr-TR"/>
        </w:rPr>
        <w:t xml:space="preserve">2</w:t>
      </w:r>
      <w:r>
        <w:rPr>
          <w:rFonts w:ascii="Times New Roman" w:hAnsi="Times New Roman" w:cs="Times New Roman"/>
          <w:lang w:val="tr-TR"/>
        </w:rPr>
        <w:t xml:space="preserve">(k)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Dengede [Mg</w:t>
      </w:r>
      <w:r>
        <w:rPr>
          <w:rFonts w:ascii="Times New Roman" w:hAnsi="Times New Roman" w:cs="Times New Roman"/>
          <w:vertAlign w:val="superscript"/>
          <w:lang w:val="tr-TR"/>
        </w:rPr>
        <w:t xml:space="preserve">2+</w:t>
      </w:r>
      <w:r>
        <w:rPr>
          <w:rFonts w:ascii="Times New Roman" w:hAnsi="Times New Roman" w:cs="Times New Roman"/>
          <w:lang w:val="tr-TR"/>
        </w:rPr>
        <w:t xml:space="preserve">] = 0,010 + s ≈ 0,010 mol/L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2s olur.</w:t>
      </w:r>
    </w:p>
    <w:p>
      <w:pPr>
        <w:jc w:val="both"/>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0,010 · (2s)</w:t>
      </w:r>
      <w:r>
        <w:rPr>
          <w:rFonts w:ascii="Times New Roman" w:hAnsi="Times New Roman" w:cs="Times New Roman"/>
          <w:vertAlign w:val="superscript"/>
          <w:lang w:val="tr-TR"/>
        </w:rPr>
        <w:t xml:space="preserve">2</w:t>
      </w:r>
      <w:r>
        <w:rPr>
          <w:rFonts w:ascii="Times New Roman" w:hAnsi="Times New Roman" w:cs="Times New Roman"/>
          <w:lang w:val="tr-TR"/>
        </w:rPr>
        <w:t xml:space="preserve"> = 0,040 s</w:t>
      </w:r>
      <w:r>
        <w:rPr>
          <w:rFonts w:ascii="Times New Roman" w:hAnsi="Times New Roman" w:cs="Times New Roman"/>
          <w:vertAlign w:val="superscript"/>
          <w:lang w:val="tr-TR"/>
        </w:rPr>
        <w:t xml:space="preserve">2</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-11</w:t>
      </w:r>
      <w:r>
        <w:rPr>
          <w:rFonts w:ascii="Times New Roman" w:hAnsi="Times New Roman" w:cs="Times New Roman"/>
          <w:lang w:val="tr-TR"/>
        </w:rPr>
        <w:t xml:space="preserve">   →   s</w:t>
      </w:r>
      <w:r>
        <w:rPr>
          <w:rFonts w:ascii="Times New Roman" w:hAnsi="Times New Roman" w:cs="Times New Roman"/>
          <w:vertAlign w:val="superscript"/>
          <w:lang w:val="tr-TR"/>
        </w:rPr>
        <w:t xml:space="preserve">2</w:t>
      </w:r>
      <w:r>
        <w:rPr>
          <w:rFonts w:ascii="Times New Roman" w:hAnsi="Times New Roman" w:cs="Times New Roman"/>
          <w:lang w:val="tr-TR"/>
        </w:rPr>
        <w:t xml:space="preserve"> = 4,5·10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   s ≈ 2,1·10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Saf sudaki molar çözünürlük (1,6·10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mol/L) ile karşılaştırıldığında ortak iyon (Mg</w:t>
      </w:r>
      <w:r>
        <w:rPr>
          <w:rFonts w:ascii="Times New Roman" w:hAnsi="Times New Roman" w:cs="Times New Roman"/>
          <w:vertAlign w:val="superscript"/>
          <w:lang w:val="tr-TR"/>
        </w:rPr>
        <w:t xml:space="preserve">2+</w:t>
      </w:r>
      <w:r>
        <w:rPr>
          <w:rFonts w:ascii="Times New Roman" w:hAnsi="Times New Roman" w:cs="Times New Roman"/>
          <w:lang w:val="tr-TR"/>
        </w:rPr>
        <w:t xml:space="preserve">) çözünürlüğü yaklaşık 8 kat azaltmıştır.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Performans Görevi 2.1.</w:t>
      </w:r>
    </w:p>
    <w:p>
      <w:pPr>
        <w:jc w:val="both"/>
        <w:rPr>
          <w:rFonts w:ascii="Times New Roman" w:hAnsi="Times New Roman" w:cs="Times New Roman"/>
          <w:lang w:val="tr-TR"/>
        </w:rPr>
      </w:pPr>
      <w:r>
        <w:rPr>
          <w:rFonts w:ascii="Times New Roman" w:hAnsi="Times New Roman" w:cs="Times New Roman"/>
          <w:lang w:val="tr-TR"/>
        </w:rPr>
        <w:t xml:space="preserve">Grubunuzla birlikte sıcaklığın ve ortak iyonun bir tuzun sudaki çözünürlüğüne etkisini araştırmak üzere bir deney tasarlayınız. Deneyiniz için farklı gözlem ortamları oluşturunuz (örneğin kireç suyunun farklı sıcaklıklarda gözlemlenmesi, doymuş bir tuz çözeltisine ortak iyon içeren bir maddenin eklenmesi). Araştırma sorunuzu, değişkenlerinizi ve deney basamaklarınızı belirleyerek öğretmeninizin onayıyla deneyinizi güvenlik kurallarına uygun şekilde uygulayınız. Deney verilerinizi kaydederek çıkarımlarda bulununuz ve çıkarımlarınızı Le Chatelier ilkesi ile açıklayan bir deney raporu hazırlayınız. Raporunuzu sınıfınızda sununuz. Çalışmanızın sonunda öğrenme sürecinizi ve hedeflerinize ulaşma düzeyinizi değerlendiriniz.</w:t>
      </w:r>
    </w:p>
    <w:p>
      <w:pPr>
        <w:jc w:val="both"/>
        <w:rPr>
          <w:rFonts w:ascii="Times New Roman" w:hAnsi="Times New Roman" w:cs="Times New Roman"/>
          <w:lang w:val="tr-TR"/>
        </w:rPr>
      </w:pPr>
      <w:r>
        <w:rPr>
          <w:rFonts w:ascii="Times New Roman" w:hAnsi="Times New Roman" w:cs="Times New Roman"/>
          <w:lang w:val="tr-TR"/>
        </w:rPr>
        <w:t xml:space="preserve">Performans göreviniz,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Karekodda yer alan “Öz Değerlendirme Formu” ile kendinizi değerlendirebilirsiniz.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6"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2.5.</w:t>
      </w:r>
    </w:p>
    <w:p>
      <w:pPr>
        <w:jc w:val="both"/>
        <w:rPr>
          <w:rFonts w:ascii="Times New Roman" w:hAnsi="Times New Roman" w:cs="Times New Roman"/>
          <w:lang w:val="tr-TR"/>
        </w:rPr>
      </w:pPr>
      <w:r>
        <w:rPr>
          <w:rFonts w:ascii="Times New Roman" w:hAnsi="Times New Roman" w:cs="Times New Roman"/>
          <w:lang w:val="tr-TR"/>
        </w:rPr>
        <w:t xml:space="preserve">Çözünürlük dengeleri doğadaki pek çok çevre sorunuyla doğrudan ilişkilidir. Aşağıdaki konulardan birini seçerek bir proje hazırlayabilirsiniz:</w:t>
      </w:r>
    </w:p>
    <w:p>
      <w:pPr>
        <w:ind w:left="360"/>
        <w:jc w:val="both"/>
        <w:rPr>
          <w:rFonts w:ascii="Times New Roman" w:hAnsi="Times New Roman" w:cs="Times New Roman"/>
          <w:lang w:val="tr-TR"/>
        </w:rPr>
      </w:pPr>
      <w:r>
        <w:rPr>
          <w:rFonts w:ascii="Times New Roman" w:hAnsi="Times New Roman" w:cs="Times New Roman"/>
          <w:lang w:val="tr-TR"/>
        </w:rPr>
        <w:t xml:space="preserve">• Buzulların erimesiyle denizlerin tuzluluk oranının değişmesi deniz canlılarını, kıyı ekosistemlerini, su kalitesini ve okyanus akıntılarını nasıl etkiler? Eriyen buzulların sulara taşıdığı minerallerin etkilerini azaltmaya (çöktürme, arıtma vb.) yönelik çözüm önerileri geliştirebilirsiniz.</w:t>
      </w:r>
    </w:p>
    <w:p>
      <w:pPr>
        <w:ind w:left="360"/>
        <w:jc w:val="both"/>
        <w:rPr>
          <w:rFonts w:ascii="Times New Roman" w:hAnsi="Times New Roman" w:cs="Times New Roman"/>
          <w:lang w:val="tr-TR"/>
        </w:rPr>
      </w:pPr>
      <w:r>
        <w:rPr>
          <w:rFonts w:ascii="Times New Roman" w:hAnsi="Times New Roman" w:cs="Times New Roman"/>
          <w:lang w:val="tr-TR"/>
        </w:rPr>
        <w:t xml:space="preserve">• Okyanuslarda ve büyük göllerde oksijen düzeyi çok düşük “ölü bölgeler” oluşabilir. Tarımda kullanılan azot ve fosfor içeren gübrelerin sulara karışması bu bölgelerin oluşmasında etkilidir. Gübre tuzlarının sudaki çözünürlüğünü etkileyen faktörleri deneylerle inceleyerek ölü bölgelerin oluşumunu azaltmaya yönelik öneriler sunabilirsiniz.</w:t>
      </w:r>
    </w:p>
    <w:p>
      <w:pPr>
        <w:ind w:left="360"/>
        <w:jc w:val="both"/>
        <w:rPr>
          <w:rFonts w:ascii="Times New Roman" w:hAnsi="Times New Roman" w:cs="Times New Roman"/>
          <w:lang w:val="tr-TR"/>
        </w:rPr>
      </w:pPr>
      <w:r>
        <w:rPr>
          <w:rFonts w:ascii="Times New Roman" w:hAnsi="Times New Roman" w:cs="Times New Roman"/>
          <w:lang w:val="tr-TR"/>
        </w:rPr>
        <w:t xml:space="preserve">• Kalsiyum karbonat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asidik toprakların pH değerini yükseltmek için tarımda kullanılır. Farklı tuzların yapısal özelliklerini inceleyerek benzer amaçla kullanılabilecek tuzları araştırabilirsiniz.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2.14.</w:t>
      </w:r>
    </w:p>
    <w:p>
      <w:pPr>
        <w:jc w:val="both"/>
        <w:rPr>
          <w:rFonts w:ascii="Times New Roman" w:hAnsi="Times New Roman" w:cs="Times New Roman"/>
          <w:lang w:val="tr-TR"/>
        </w:rPr>
      </w:pPr>
      <w:r>
        <w:rPr>
          <w:rFonts w:ascii="Times New Roman" w:hAnsi="Times New Roman" w:cs="Times New Roman"/>
          <w:lang w:val="tr-TR"/>
        </w:rPr>
        <w:t xml:space="preserve">Aşağıdaki soruları yanıtlayınız. (25 °C’de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AgCl = 1,8·10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 = 1,1·10</w:t>
      </w:r>
      <w:r>
        <w:rPr>
          <w:rFonts w:ascii="Times New Roman" w:hAnsi="Times New Roman" w:cs="Times New Roman"/>
          <w:vertAlign w:val="superscript"/>
          <w:lang w:val="tr-TR"/>
        </w:rPr>
        <w:t xml:space="preserve">-12</w:t>
      </w:r>
      <w:r>
        <w:rPr>
          <w:rFonts w:ascii="Times New Roman" w:hAnsi="Times New Roman" w:cs="Times New Roman"/>
          <w:lang w:val="tr-TR"/>
        </w:rPr>
        <w:t xml:space="preserve">,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-11</w:t>
      </w: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AgCl’nin 0,010 mol/L AgNO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çözeltisindeki molar çözünürlüğünü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’ın 0,10 mol/L AgNO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çözeltisindeki ve 0,10 mol/L K</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çözeltisindeki molar çözünürlüklerini hesaplayınız. Hangi ortak iyon çözünürlüğü daha fazla azaltmıştır?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Mg(OH)</w:t>
      </w:r>
      <w:r>
        <w:rPr>
          <w:rFonts w:ascii="Times New Roman" w:hAnsi="Times New Roman" w:cs="Times New Roman"/>
          <w:vertAlign w:val="subscript"/>
          <w:lang w:val="tr-TR"/>
        </w:rPr>
        <w:t xml:space="preserve">2</w:t>
      </w:r>
      <w:r>
        <w:rPr>
          <w:rFonts w:ascii="Times New Roman" w:hAnsi="Times New Roman" w:cs="Times New Roman"/>
          <w:lang w:val="tr-TR"/>
        </w:rPr>
        <w:t xml:space="preserve">’nin 0,10 mol/L NaOH çözeltisindeki molar çözünürlüğünü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Çözünmesi endotermik olan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tuzunun, dibinde katısı bulunan doymuş çözeltisinde aşağıdaki değişiklikler yapılıyor. Her değişikliğin BaSO</w:t>
      </w:r>
      <w:r>
        <w:rPr>
          <w:rFonts w:ascii="Times New Roman" w:hAnsi="Times New Roman" w:cs="Times New Roman"/>
          <w:vertAlign w:val="subscript"/>
          <w:lang w:val="tr-TR"/>
        </w:rPr>
        <w:t xml:space="preserve">4</w:t>
      </w:r>
      <w:r>
        <w:rPr>
          <w:rFonts w:ascii="Times New Roman" w:hAnsi="Times New Roman" w:cs="Times New Roman"/>
          <w:lang w:val="tr-TR"/>
        </w:rPr>
        <w:t xml:space="preserve">’ın molar çözünürlüğüne ve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değerine etkisini (artar/azalır/değişmez)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000"/>
        <w:gridCol w:w="2000"/>
        <w:gridCol w:w="2000"/>
      </w:tblGrid>
      <w:tr>
        <w:tc>
          <w:tcPr>
            <w:tcW w:w="5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Değişiklik</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Molar çözünürlük</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w:t>
            </w:r>
            <w:r>
              <w:rPr>
                <w:rFonts w:ascii="Times New Roman" w:hAnsi="Times New Roman" w:cs="Times New Roman"/>
                <w:b/>
                <w:bCs/>
                <w:vertAlign w:val="subscript"/>
                <w:lang w:val="tr-TR"/>
              </w:rPr>
              <w:t xml:space="preserve">çç</w:t>
            </w:r>
          </w:p>
        </w:tc>
      </w:tr>
      <w:tr>
        <w:trPr>
          <w:trHeight w:val="450"/>
        </w:trP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Sabit sıcaklıkta Na</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katısı eklemek</w:t>
            </w:r>
          </w:p>
        </w:tc>
        <w:tc>
          <w:tcPr>
            <w:tcW w:w="20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r>
        <w:trPr>
          <w:trHeight w:val="450"/>
        </w:trP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Sıcaklığı artırmak</w:t>
            </w:r>
          </w:p>
        </w:tc>
        <w:tc>
          <w:tcPr>
            <w:tcW w:w="20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r>
        <w:trPr>
          <w:trHeight w:val="450"/>
        </w:trP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Sabit sıcaklıkta BaCl</w:t>
            </w:r>
            <w:r>
              <w:rPr>
                <w:rFonts w:ascii="Times New Roman" w:hAnsi="Times New Roman" w:cs="Times New Roman"/>
                <w:vertAlign w:val="subscript"/>
                <w:lang w:val="tr-TR"/>
              </w:rPr>
              <w:t xml:space="preserve">2</w:t>
            </w:r>
            <w:r>
              <w:rPr>
                <w:rFonts w:ascii="Times New Roman" w:hAnsi="Times New Roman" w:cs="Times New Roman"/>
                <w:lang w:val="tr-TR"/>
              </w:rPr>
              <w:t xml:space="preserve"> katısı eklemek</w:t>
            </w:r>
          </w:p>
        </w:tc>
        <w:tc>
          <w:tcPr>
            <w:tcW w:w="20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r>
        <w:trPr>
          <w:trHeight w:val="450"/>
        </w:trP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Sabit sıcaklıkta bir miktar saf su eklemek (kapta hâlâ katı varken)</w:t>
            </w:r>
          </w:p>
        </w:tc>
        <w:tc>
          <w:tcPr>
            <w:tcW w:w="20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Berrak kireç suyu ısıtıldığında bulanıklaşmaktadır. Buna göre Ca(OH)</w:t>
      </w:r>
      <w:r>
        <w:rPr>
          <w:rFonts w:ascii="Times New Roman" w:hAnsi="Times New Roman" w:cs="Times New Roman"/>
          <w:vertAlign w:val="subscript"/>
          <w:lang w:val="tr-TR"/>
        </w:rPr>
        <w:t xml:space="preserve">2</w:t>
      </w:r>
      <w:r>
        <w:rPr>
          <w:rFonts w:ascii="Times New Roman" w:hAnsi="Times New Roman" w:cs="Times New Roman"/>
          <w:lang w:val="tr-TR"/>
        </w:rPr>
        <w:t xml:space="preserve">’nin çözünme olayının endotermik mi ekzotermik mi olduğunu Le Chatelier ilkesi ile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Ortak iyonun ve sıcaklığın tuzların çözünürlüğüne etkisini inceleyebileceğiniz sanal laboratuvar uygulamasına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Sanal laboratuvar (Kim11.2.14)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Sanal laboratuvar (Kim11.2.14)</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(çözünürlük ve kompleks iyon dengeleri bölümü;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ek tablosu)</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