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Shutterstock arama: “vinegar bottle salad”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Shutterstock arama: “cleaning products bottles unbranded”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asit ve baz çözeltileriyle çalışırken gözlük, eldiven, önlük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iyonlaşma yüzdelerini dikkate alarak alt mikro seviyede birer model çiziniz. Modelinizde su moleküllerini göstermenize gerek yoktur.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çözeltilerde iyonlaşma derecelerine bağlıdır. Suda tamamen (yaklaşık %100) iyonlaşan asitlere </w:t>
      </w:r>
      <w:r>
        <w:rPr>
          <w:rFonts w:ascii="Times New Roman" w:hAnsi="Times New Roman" w:cs="Times New Roman"/>
          <w:b/>
          <w:bCs/>
          <w:lang w:val="tr-TR"/>
        </w:rPr>
        <w:t xml:space="preserve">kuvvetli asit</w:t>
      </w:r>
      <w:r>
        <w:rPr>
          <w:rFonts w:ascii="Times New Roman" w:hAnsi="Times New Roman" w:cs="Times New Roman"/>
          <w:lang w:val="tr-TR"/>
        </w:rPr>
        <w:t xml:space="preserve">, kısmen iyonlaşan asitlere </w:t>
      </w:r>
      <w:r>
        <w:rPr>
          <w:rFonts w:ascii="Times New Roman" w:hAnsi="Times New Roman" w:cs="Times New Roman"/>
          <w:b/>
          <w:bCs/>
          <w:lang w:val="tr-TR"/>
        </w:rPr>
        <w:t xml:space="preserve">zayıf asit</w:t>
      </w:r>
      <w:r>
        <w:rPr>
          <w:rFonts w:ascii="Times New Roman" w:hAnsi="Times New Roman" w:cs="Times New Roman"/>
          <w:lang w:val="tr-TR"/>
        </w:rPr>
        <w:t xml:space="preserve"> denir. Benzer şekilde suda tamamen iyonlaşan bazlara </w:t>
      </w:r>
      <w:r>
        <w:rPr>
          <w:rFonts w:ascii="Times New Roman" w:hAnsi="Times New Roman" w:cs="Times New Roman"/>
          <w:b/>
          <w:bCs/>
          <w:lang w:val="tr-TR"/>
        </w:rPr>
        <w:t xml:space="preserve">kuvvetli baz</w:t>
      </w:r>
      <w:r>
        <w:rPr>
          <w:rFonts w:ascii="Times New Roman" w:hAnsi="Times New Roman" w:cs="Times New Roman"/>
          <w:lang w:val="tr-TR"/>
        </w:rPr>
        <w:t xml:space="preserve">, kısmen iyonlaşan bazlara </w:t>
      </w:r>
      <w:r>
        <w:rPr>
          <w:rFonts w:ascii="Times New Roman" w:hAnsi="Times New Roman" w:cs="Times New Roman"/>
          <w:b/>
          <w:bCs/>
          <w:lang w:val="tr-TR"/>
        </w:rPr>
        <w:t xml:space="preserve">zayıf baz</w:t>
      </w:r>
      <w:r>
        <w:rPr>
          <w:rFonts w:ascii="Times New Roman" w:hAnsi="Times New Roman" w:cs="Times New Roman"/>
          <w:lang w:val="tr-TR"/>
        </w:rPr>
        <w:t xml:space="preserve"> denir. Kuvvetli asitlerin iyonlaşması tek yönlü ok (→), zayıf asitlerin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 (Görsel C). Bu nedenle 0,10 M HCl çözeltisinin pH değeri 1,0 iken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 Çözeltideki iyon sayısı fazla olduğu için kuvvetli asit ve baz çözeltilerinin elektrik iletkenliği de zayıf asit ve baz çözeltilerine göre daha yüksektir. Kuvvetli asit ve bazların sulu çözeltileri </w:t>
      </w:r>
      <w:r>
        <w:rPr>
          <w:rFonts w:ascii="Times New Roman" w:hAnsi="Times New Roman" w:cs="Times New Roman"/>
          <w:b/>
          <w:bCs/>
          <w:lang w:val="tr-TR"/>
        </w:rPr>
        <w:t xml:space="preserve">kuvvetli elektrolit</w:t>
      </w:r>
      <w:r>
        <w:rPr>
          <w:rFonts w:ascii="Times New Roman" w:hAnsi="Times New Roman" w:cs="Times New Roman"/>
          <w:lang w:val="tr-TR"/>
        </w:rPr>
        <w:t xml:space="preserve">, zayıf asit ve bazların sulu çözeltileri ise </w:t>
      </w:r>
      <w:r>
        <w:rPr>
          <w:rFonts w:ascii="Times New Roman" w:hAnsi="Times New Roman" w:cs="Times New Roman"/>
          <w:b/>
          <w:bCs/>
          <w:lang w:val="tr-TR"/>
        </w:rPr>
        <w:t xml:space="preserve">zayıf elektrolittir</w:t>
      </w: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223000"/>
            <wp:docPr id="900004" name="Grafik 900004" descr="Kuvvetli ve zayıf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223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Aynı derişimdeki kuvvetli asit (HCl) ve zayıf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Zayıf asit ve bazların iyonlaşması bir denge tepkimesi olduğu için bu dengelerin denge sabitleri asit ve bazların kuvvetini karşılaştırmada kullanılır. Bir zayıf asidin iyonlaşma tepkimesinin denge sabitine </w:t>
      </w:r>
      <w:r>
        <w:rPr>
          <w:rFonts w:ascii="Times New Roman" w:hAnsi="Times New Roman" w:cs="Times New Roman"/>
          <w:b/>
          <w:bCs/>
          <w:lang w:val="tr-TR"/>
        </w:rPr>
        <w:t xml:space="preserve">asitlik sabiti (K</w:t>
      </w:r>
      <w:r>
        <w:rPr>
          <w:rFonts w:ascii="Times New Roman" w:hAnsi="Times New Roman" w:cs="Times New Roman"/>
          <w:b/>
          <w:bCs/>
          <w:vertAlign w:val="subscript"/>
          <w:lang w:val="tr-TR"/>
        </w:rPr>
        <w:t xml:space="preserve">a</w:t>
      </w:r>
      <w:r>
        <w:rPr>
          <w:rFonts w:ascii="Times New Roman" w:hAnsi="Times New Roman" w:cs="Times New Roman"/>
          <w:b/>
          <w:bCs/>
          <w:lang w:val="tr-TR"/>
        </w:rPr>
        <w:t xml:space="preserve">)</w:t>
      </w:r>
      <w:r>
        <w:rPr>
          <w:rFonts w:ascii="Times New Roman" w:hAnsi="Times New Roman" w:cs="Times New Roman"/>
          <w:lang w:val="tr-TR"/>
        </w:rPr>
        <w:t xml:space="preserve">, bir zayıf bazın iyonlaşma tepkimesinin denge sabitine </w:t>
      </w:r>
      <w:r>
        <w:rPr>
          <w:rFonts w:ascii="Times New Roman" w:hAnsi="Times New Roman" w:cs="Times New Roman"/>
          <w:b/>
          <w:bCs/>
          <w:lang w:val="tr-TR"/>
        </w:rPr>
        <w:t xml:space="preserve">bazlık sabiti (K</w:t>
      </w:r>
      <w:r>
        <w:rPr>
          <w:rFonts w:ascii="Times New Roman" w:hAnsi="Times New Roman" w:cs="Times New Roman"/>
          <w:b/>
          <w:bCs/>
          <w:vertAlign w:val="subscript"/>
          <w:lang w:val="tr-TR"/>
        </w:rPr>
        <w:t xml:space="preserve">b</w:t>
      </w:r>
      <w:r>
        <w:rPr>
          <w:rFonts w:ascii="Times New Roman" w:hAnsi="Times New Roman" w:cs="Times New Roman"/>
          <w:b/>
          <w:bCs/>
          <w:lang w:val="tr-TR"/>
        </w:rPr>
        <w:t xml:space="preserve">)</w:t>
      </w:r>
      <w:r>
        <w:rPr>
          <w:rFonts w:ascii="Times New Roman" w:hAnsi="Times New Roman" w:cs="Times New Roman"/>
          <w:lang w:val="tr-TR"/>
        </w:rPr>
        <w:t xml:space="preserve"> denir. K</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 büyüdükçe asidin ya da bazın kuvveti artar.</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asit ne kadar kuvvetliyse eşlenik bazı o kadar zayıftır. Örneğin HCl çok kuvvetli bir asit olduğu için eşlenik bazı Cl</w:t>
      </w:r>
      <w:r>
        <w:rPr>
          <w:rFonts w:ascii="Times New Roman" w:hAnsi="Times New Roman" w:cs="Times New Roman"/>
          <w:vertAlign w:val="superscript"/>
          <w:lang w:val="tr-TR"/>
        </w:rPr>
        <w:t xml:space="preserve">−</w:t>
      </w:r>
      <w:r>
        <w:rPr>
          <w:rFonts w:ascii="Times New Roman" w:hAnsi="Times New Roman" w:cs="Times New Roman"/>
          <w:lang w:val="tr-TR"/>
        </w:rPr>
        <w:t xml:space="preserve"> suda proton alma eğilimi göstermez. Zayıf bir asit olan HF’nin eşlenik bazı F</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sudan proton alarak bazik özellik gösterebilir. Asitlerin kuvvetini “derişik” ya da “seyreltik” kavramlarıyla karıştırmamak gerekir: Derişim çözeltideki madde miktarını, kuvvet ise maddenin iyonlaşma eğilimini ifade eder. Örneğin 6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derişik ancak zayıf, 0,001 M HCl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HCl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HCl ise suda yaklaşık %100 iyonlaşır. Bu nedenle HCl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HCl çözeltisinin elektrik iletkenliği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a</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İyonlaşma yüzdeleri bu değerlerle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