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Ürünün içindeki asit ya da bazın derişimini belirlemek için derişimi tam olarak bilinen bir çözeltiyi büretten damla damla ekler ve çözeltinin rengi değiştiği anda eklemeyi durdurur (Görsel A).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Laboratuvarda titrasyon yapılması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 Ek uyarılar: Pipetle ağızla sıvı çekilmemeli, puar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 Derişimi bilinmeyen hidroklorik asit çözeltisi, 0,100 M sodyum hidroksit çözeltisi, fenolftalein, büret, sehpa ve kıskaç, erlenmayer, dereceli pipet ve puar gibi malzemeler kullanabilirsiniz. Deneyinizi gerçekleştirmek için farklı malzemeler de tercih edebilirsiniz. Deneyinizi gerçekleştirirken uymanız gereken güvenlik uyarılarını belirleyiniz. Tasarladığınız deneyin adını, amacını, yapılışını ve deney için gerekli malzemeleri aşağıya not ediniz.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Titrasyon düzeneği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hesaplayarak belirleyiniz. Grubunuzun ulaştığı sonucu diğer grupların sonuçlarıyla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bilinen bir baz çözeltisinden yararlanarak derişimi bilinmeyen bir asit çözeltisinin derişimini belirlediniz. Derişimi bilinen bir çözelti yardımıyla derişimi bilinmeyen bir çözeltinin derişimini belirlemeye yarayan analiz yöntemine titrasyon denir. Titrasyonda kullanılan ve derişimi tam olarak bilinen çözeltiye standart çözelti denir. Standart çözelti bir bürete konur ve derişimi bilinmeyen çözeltinin belirli bir hacmini içeren erlenmayere damla damla eklenir; bu sırada iki çözeltideki maddeler arasında bir kimyasal tepkime gerçekleşir. Büret, alt ucunda musluk bulunan ve üzerinde 0,1 mL’lik bölmeler yer alan dereceli bir cam borudur; eklenen çözeltinin hacminin duyarlı biçimde ölçülmesini sağlar. Titrasyonlar, gerçekleşen tepkimenin türüne göre asit-baz, çöktürme ve redoks (indirgenme-yükseltgenme) titrasyonları olarak sınıflandırılır. Derişimi bilinmeyen kuvvetli asit ya da kuvvetli baz çözeltisinin derişimini kuvvetli bir baz ya da kuvvetli bir asit kullanarak belirlemek için yapılan titrasyona kuvvetli asit-kuvvetli baz titrasyonu denir.</w:t>
      </w:r>
    </w:p>
    <w:p>
      <w:pPr>
        <w:jc w:val="both"/>
        <w:rPr>
          <w:rFonts w:ascii="Times New Roman" w:hAnsi="Times New Roman" w:cs="Times New Roman"/>
          <w:lang w:val="tr-TR"/>
        </w:rPr>
      </w:pPr>
      <w:r>
        <w:rPr>
          <w:rFonts w:ascii="Times New Roman" w:hAnsi="Times New Roman" w:cs="Times New Roman"/>
          <w:lang w:val="tr-TR"/>
        </w:rPr>
        <w:t xml:space="preserve">Kuvvetli asit-kuvvetli baz titrasyonunda nötralleşme tepkimesinin tamamlandığı, yani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noktaya eş değerlik noktası denir. Eş değerlik noktasında tam nötralleşme gerçekleştiği için çözelti nötrdür ve pH değeri 25 °C’de 7’dir. Eş değerlik noktası hesaplanabilen kuramsal bir noktadır; doğrudan gözlenemez. Bu noktayı belirlemek için eş değerlik noktasında ya da yakınında fiziksel bir değişim gösteren indikatörlerden, pH metreden ya da iletkenlik ölçerden yararlanılır. İndikatörün renk değiştirdiği ve titrasyonun sonlandırıldığı noktaya dönüm noktası denir. Uygun indikatör seçildiğinde dönüm noktası eş değerlik noktasına çok yakın olur; aradaki hacim farkı bir damladan bile küçük olduğu için hesaplamalarda dönüm noktasına kadar harcanan hacim kullanılır.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ve eğri neredeyse dikey hâle gelir. Örneğin eklenen NaOH hacmi 24,9 mL iken pH yaklaşık 3,7; 25,1 mL iken yaklaşık 10,3’tür. Bu dik bölge fenolftaleinin (pH 8,2-10,0) ve metil oranjın (pH 3,1-4,4) renk değiştirme aralıklarını kapsadığı için her iki indikatör de kuvvetli asit-kuvvetli baz titrasyonlarında kullanılabilir; iki indikatörle belirlenen dönüm noktası hacimleri arasındaki fark ihmal edilecek kadar küçüktür. Renk değiştirme aralığı eş değerlik noktasını içine alan bromtimol mavisi (pH 6,0-7,6) de uygun bir seçimdir. Genel olarak indikatör, renk değiştirme aralığı titrasyon eğrisinin dik bölgesine düşecek şekilde seçilir.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3124206"/>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38354" cy="31242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olduğundan nötralleşme konusunda kullanılan eşitlik, titrasyonda derişimi bilinmeyen çözeltinin derişimini hesaplamak için de kullanılır. Hesaplamada asit ya da bazın hacmi olarak dönüm noktasına kadar harcanan hacim alınır: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ve KOH gibi bir molekülü ya da birim formülü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veya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asit ve bazlar için bu eşitlik M</w:t>
      </w:r>
      <w:r>
        <w:rPr>
          <w:rFonts w:ascii="Times New Roman" w:hAnsi="Times New Roman" w:cs="Times New Roman"/>
          <w:lang w:val="tr-TR"/>
          <w:vertAlign w:val="subscript"/>
        </w:rPr>
        <w:t xml:space="preserve">a</w:t>
      </w:r>
      <w:r>
        <w:rPr>
          <w:rFonts w:ascii="Times New Roman" w:hAnsi="Times New Roman" w:cs="Times New Roman"/>
          <w:lang w:val="tr-TR"/>
        </w:rPr>
        <w:t xml:space="preserve">·V</w:t>
      </w:r>
      <w:r>
        <w:rPr>
          <w:rFonts w:ascii="Times New Roman" w:hAnsi="Times New Roman" w:cs="Times New Roman"/>
          <w:lang w:val="tr-TR"/>
          <w:vertAlign w:val="subscript"/>
        </w:rPr>
        <w:t xml:space="preserve">a</w:t>
      </w:r>
      <w:r>
        <w:rPr>
          <w:rFonts w:ascii="Times New Roman" w:hAnsi="Times New Roman" w:cs="Times New Roman"/>
          <w:lang w:val="tr-TR"/>
        </w:rPr>
        <w:t xml:space="preserve"> = M</w:t>
      </w:r>
      <w:r>
        <w:rPr>
          <w:rFonts w:ascii="Times New Roman" w:hAnsi="Times New Roman" w:cs="Times New Roman"/>
          <w:lang w:val="tr-TR"/>
          <w:vertAlign w:val="subscript"/>
        </w:rPr>
        <w:t xml:space="preserve">b</w:t>
      </w:r>
      <w:r>
        <w:rPr>
          <w:rFonts w:ascii="Times New Roman" w:hAnsi="Times New Roman" w:cs="Times New Roman"/>
          <w:lang w:val="tr-TR"/>
        </w:rPr>
        <w:t xml:space="preserve">·V</w:t>
      </w:r>
      <w:r>
        <w:rPr>
          <w:rFonts w:ascii="Times New Roman" w:hAnsi="Times New Roman" w:cs="Times New Roman"/>
          <w:lang w:val="tr-TR"/>
          <w:vertAlign w:val="subscript"/>
        </w:rPr>
        <w:t xml:space="preserve">b</w:t>
      </w:r>
      <w:r>
        <w:rPr>
          <w:rFonts w:ascii="Times New Roman" w:hAnsi="Times New Roman" w:cs="Times New Roman"/>
          <w:lang w:val="tr-TR"/>
        </w:rPr>
        <w:t xml:space="preserve"> biçimini alır. Eşitliğin iki tarafında hacimler aynı birimle (L ya da mL) yazıldığında birimler sadeleşir. 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A’daki değerler ile Analiz ve Keşif Atölyesi 2.11.’deki örnek deney verileri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