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Su altında kalsiyum karbonattan oluşmuş mercan resifi ve deniz kabukları ya da bir mağaradaki damlataş oluşumları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2760185255 (fotoğraf) — School of fish over a coral reef, blue tones</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Pamukkale travertenleri ya da bir mağaradaki damlataşlar; suda az çözünen kalsiyum karbonatın çözünüp yeniden çökmesiyle oluşan yapılar (yurt içinden bir görüntü tercih edilmeli).</w:t>
            </w:r>
          </w:p>
          <w:p>
            <w:pPr>
              <w:jc w:val="both"/>
              <w:rPr>
                <w:rFonts w:ascii="Times New Roman" w:hAnsi="Times New Roman" w:cs="Times New Roman"/>
                <w:lang w:val="tr-TR"/>
              </w:rPr>
            </w:pPr>
            <w:r>
              <w:rPr>
                <w:rFonts w:ascii="Times New Roman" w:hAnsi="Times New Roman" w:cs="Times New Roman"/>
                <w:lang w:val="tr-TR"/>
              </w:rPr>
              <w:t xml:space="preserve">Shutter ID: 2813805813 (fotoğraf) — Pamukkale thermal spring and travertine terraces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Doğadaki bu yapılar, suda çok az çözünen bir tuzun hem çözünebildiğini hem de koşullar değiştiğinde yeniden çökebildiğini gösterir.</w:t>
      </w:r>
    </w:p>
    <w:p>
      <w:pPr>
        <w:jc w:val="both"/>
        <w:rPr>
          <w:rFonts w:ascii="Times New Roman" w:hAnsi="Times New Roman" w:cs="Times New Roman"/>
          <w:lang w:val="tr-TR"/>
        </w:rPr>
      </w:pPr>
      <w:r>
        <w:rPr>
          <w:rFonts w:ascii="Times New Roman" w:hAnsi="Times New Roman" w:cs="Times New Roman"/>
          <w:lang w:val="tr-TR"/>
        </w:rPr>
        <w:t xml:space="preserve">Suda az çözünen tuzlar günlük hayatımızda da sık sık karşımıza çıkar. Çaydanlıkların dibinde biriken kireç, böbreklerde oluşabilen taşlar ve dişlerimizin mine tabakası bu tuzlardan oluşur. Mide ve bağırsakların röntgen görüntüsü alınırken hastalara içirilen baryum sülfat ise suda çok az çözündüğü için baryum iyonlarının vücuda geçmesine izin vermez ve güvenle kullanılabilir.</w:t>
      </w:r>
    </w:p>
    <w:p>
      <w:pPr>
        <w:jc w:val="both"/>
        <w:rPr>
          <w:rFonts w:ascii="Times New Roman" w:hAnsi="Times New Roman" w:cs="Times New Roman"/>
          <w:lang w:val="tr-TR"/>
        </w:rPr>
      </w:pPr>
      <w:r>
        <w:rPr>
          <w:rFonts w:ascii="Times New Roman" w:hAnsi="Times New Roman" w:cs="Times New Roman"/>
          <w:lang w:val="tr-TR"/>
        </w:rPr>
        <w:t xml:space="preserve">Suda az çözünen bir tuz suyla temas ettiğinde gözle görülür bir değişim olmasa da tanecik düzeyinde çözünme ve çökelme süreçleri hiç durmadan devam eder. Bu süreç de önceki bölümlerde incelediğiniz dengelere benzer bir dengedir.</w:t>
      </w:r>
    </w:p>
    <w:p>
      <w:pPr>
        <w:jc w:val="both"/>
        <w:rPr>
          <w:rFonts w:ascii="Times New Roman" w:hAnsi="Times New Roman" w:cs="Times New Roman"/>
          <w:lang w:val="tr-TR"/>
        </w:rPr>
      </w:pPr>
      <w:r>
        <w:rPr>
          <w:rFonts w:ascii="Times New Roman" w:hAnsi="Times New Roman" w:cs="Times New Roman"/>
          <w:lang w:val="tr-TR"/>
        </w:rPr>
        <w:t xml:space="preserve">Bu bölümde suda az çözünen tuzların çözünürlüğünü bir denge süreci olarak inceleyecek, çözünürlüğü nicel olarak ifade etmeyi ve çözünürlüğe etki eden faktörleri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2.3.</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Çözünürlük nedir? Bir maddenin çözünürlüğünü etkileyen faktörleri önceki bilgilerinizi kullanarak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Doymuş, doymamış ve aşırı doymuş çözeltileri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Dibinde katısı bulunan doymuş bir tuz çözeltisinde çözünme durmuş mudur? Denge bölümünde öğrendiklerinizle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çözelti karıştırıldığında dibe çöken bir katı (çökelek) oluşmasına günlük hayattan ya da laboratuvardan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Dişlerin dış yüzeyini kaplayan mine tabakası büyük ölçüde hidroksiapatit [Ca</w:t>
      </w:r>
      <w:r>
        <w:rPr>
          <w:rFonts w:ascii="Times New Roman" w:hAnsi="Times New Roman" w:cs="Times New Roman"/>
          <w:lang w:val="tr-TR"/>
          <w:vertAlign w:val="subscript"/>
        </w:rPr>
        <w:t xml:space="preserve">5</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w:t>
      </w:r>
      <w:r>
        <w:rPr>
          <w:rFonts w:ascii="Times New Roman" w:hAnsi="Times New Roman" w:cs="Times New Roman"/>
          <w:lang w:val="tr-TR"/>
          <w:vertAlign w:val="subscript"/>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B). Şekerli yiyecekler tüketildikten sonra ağızdaki bakterilerin oluşturduğu asitler bu dengeyi bozabilir. Peki suda “çözünmez” olarak bilinen bir tuz gerçekten hiç çözünmez mi? Suda az çözünen tuzların ne kadar çözündüğü nasıl ifade edilebilir? Bu soruların cevabını Analiz ve Keşif Atölyesi 2.13.’te kendi oluşturacağınız bir bilimsel modelle arayınız. Etkinlikte az çözünen bir tuzun suda çözünme sürecini tanecik düzeyinde modelleyecek, modelinizi bilim insanlarının kabul ettiği modelle karşılaştırarak geliştirecek ve verilen değerlerden yola çıkarak tuzların çözünürlükleri hakkında yargıya varacaksınız. Modelinizi eleştirel bir gözle değerlendirip eksiklerini fark etmeniz analitik düşünmenizi de güçlendirecektir.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Dişin kesitini gösteren ve mine tabakasını belirten bir illüstrasyon; mümkünse mine yüzeyinde iyon alışverişini temsil eden küçük oklar eklenebilir (vektörel).</w:t>
            </w:r>
          </w:p>
          <w:p>
            <w:pPr>
              <w:jc w:val="both"/>
              <w:rPr>
                <w:rFonts w:ascii="Times New Roman" w:hAnsi="Times New Roman" w:cs="Times New Roman"/>
                <w:lang w:val="tr-TR"/>
              </w:rPr>
            </w:pPr>
            <w:r>
              <w:rPr>
                <w:rFonts w:ascii="Times New Roman" w:hAnsi="Times New Roman" w:cs="Times New Roman"/>
                <w:lang w:val="tr-TR"/>
              </w:rPr>
              <w:t xml:space="preserve">Shutter ID: 2072502239 (vektör) — Human tooth structure cross section (enamel, dentine, pulp)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minesinin yapısı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çok az çözünen tuzlara bir örnektir.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açıklamak için bir model öneriniz ve önerdiğiniz modeli en az üç aşamada gösteren alt mikro düzeyde bir çizimle ifade ediniz. Modelinizde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Animasyondan edindiğiniz yeni kanıtlara dayanarak modelinizin eksik ya da hatalı yönlerini eleştirel bir gözle belirleyiniz ve modelinizi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çözünürlük çarpımı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denir. Diğer denge sabiti ifadelerinde olduğu gibi her iyonun derişimi, çözünme denklemindeki katsayısı kadar üssü alınarak yazılır. Saf katının derişimi sabit sıcaklıkta değişmediği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doymuş çözeltide çözünmüş hâlde bulunan tuzun mol sayısına molar çözünürlük (s)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2.13.’te oluşturduğunuz model, günlük dilde “suda çözünmez” denen tuzların da çok küçük bir miktarının suda çözündüğünü gösterir; aslında suda hiç çözünmeyen iyonik katı yoktur. Doğada florit minerali olarak bulunan kalsiyum florür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de suda çok az çözünen bir tuzdur.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katısı suya eklendiğinde katının yüzeyindeki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su molekülleri tarafından çekilerek çözeltiye geçer. Çözeltideki iyon derişimi arttıkça iyonların katı yüzeyine çarpıp yeniden kristale bağlanması (çökelme) da hızlanır. Bir süre sonra birim zamanda çözünen ve çöken tuz miktarları eşitlenir (Görsel C). Bu durumda çözelti doymuştur ve katı ile çözeltideki iyonları arasında aşağıdaki denge kurulmuştur:</w:t>
      </w:r>
    </w:p>
    <w:p>
      <w:pPr>
        <w:jc w:val="center"/>
        <w:rPr>
          <w:rFonts w:ascii="Times New Roman" w:hAnsi="Times New Roman" w:cs="Times New Roman"/>
          <w:lang w:val="tr-TR"/>
        </w:rPr>
      </w:pPr>
      <w:r>
        <w:rPr>
          <w:rFonts w:ascii="Times New Roman" w:hAnsi="Times New Roman" w:cs="Times New Roman"/>
          <w:lang w:val="tr-TR"/>
        </w:rPr>
        <w:t xml:space="preserve">CaF</w:t>
      </w:r>
      <w:r>
        <w:rPr>
          <w:rFonts w:ascii="Times New Roman" w:hAnsi="Times New Roman" w:cs="Times New Roman"/>
          <w:lang w:val="tr-TR"/>
          <w:vertAlign w:val="subscript"/>
        </w:rPr>
        <w:t xml:space="preserve">2</w:t>
      </w:r>
      <w:r>
        <w:rPr>
          <w:rFonts w:ascii="Times New Roman" w:hAnsi="Times New Roman" w:cs="Times New Roman"/>
          <w:lang w:val="tr-TR"/>
        </w:rPr>
        <w:t xml:space="preserve">(k) ⇌ Ca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+ 2F</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Çözünme hızının çökelme hızına eşit olduğu bu dengeye çözünürlük dengesi denir. Çözünürlük dengesi dinamik bir dengedir; çözeltinin makroskobik özellikleri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2697485"/>
            <wp:docPr id="900003" name="Grafik 900003" descr="CaF2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757683" cy="269748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Suda az çözünen CaF</w:t>
      </w:r>
      <w:r>
        <w:rPr>
          <w:rFonts w:ascii="Times New Roman" w:hAnsi="Times New Roman" w:cs="Times New Roman"/>
          <w:lang w:val="tr-TR"/>
          <w:vertAlign w:val="subscript"/>
        </w:rPr>
        <w:t xml:space="preserve">2</w:t>
      </w:r>
      <w:r>
        <w:rPr>
          <w:rFonts w:ascii="Times New Roman" w:hAnsi="Times New Roman" w:cs="Times New Roman"/>
          <w:lang w:val="tr-TR"/>
        </w:rPr>
        <w:t xml:space="preserve">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su moleküllerinin iyonları sardığı (hidratasyon) ayrıntı da eklenerek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Dibinde çözünmeden kalan katı bulunan ve dengeye ulaşmış bir çözelti, o sıcaklıkta daha fazla tuz çözemez. Önceki sınıflardan hatırlayacağınız gibi belirli bir sıcaklıkta çözebileceğinden daha az madde çözmüş olan çözeltiye doymamış çözelti, çözebileceği en fazla maddeyi çözmüş çözeltiye doymuş çözelti denir. Bazı durumlarda, örneğin sıcakta hazırlanmış doymuş bir çözelti dikkatlice soğutulduğunda, çözelti çözünürlüğünden daha fazla madde içerebilir. Bu kararsız çözeltilere aşırı doymuş çözelti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Suda az çözünen bir X</w:t>
      </w:r>
      <w:r>
        <w:rPr>
          <w:rFonts w:ascii="Times New Roman" w:hAnsi="Times New Roman" w:cs="Times New Roman"/>
          <w:lang w:val="tr-TR"/>
          <w:vertAlign w:val="subscript"/>
        </w:rPr>
        <w:t xml:space="preserve">a</w:t>
      </w:r>
      <w:r>
        <w:rPr>
          <w:rFonts w:ascii="Times New Roman" w:hAnsi="Times New Roman" w:cs="Times New Roman"/>
          <w:lang w:val="tr-TR"/>
        </w:rPr>
        <w:t xml:space="preserve">Y</w:t>
      </w:r>
      <w:r>
        <w:rPr>
          <w:rFonts w:ascii="Times New Roman" w:hAnsi="Times New Roman" w:cs="Times New Roman"/>
          <w:lang w:val="tr-TR"/>
          <w:vertAlign w:val="subscript"/>
        </w:rPr>
        <w:t xml:space="preserve">b</w:t>
      </w:r>
      <w:r>
        <w:rPr>
          <w:rFonts w:ascii="Times New Roman" w:hAnsi="Times New Roman" w:cs="Times New Roman"/>
          <w:lang w:val="tr-TR"/>
        </w:rPr>
        <w:t xml:space="preserve"> tuzunun çözünürlük dengesi ve çözünürlük çarpımı ifadesi genel olarak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Bu ifadedeki derişimler doymuş çözeltideki denge derişimleridir.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bir denge sabiti olduğundan daha önce incelediğiniz diğer denge sabitleri gibi yalnızca sıcaklığa bağlıdır; aynı sıcaklıkta bir tuzun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çözeltideki iyon derişimleri nasıl değişirse değişsin sabittir.</w:t>
      </w:r>
    </w:p>
    <w:p>
      <w:pPr>
        <w:jc w:val="both"/>
        <w:rPr>
          <w:rFonts w:ascii="Times New Roman" w:hAnsi="Times New Roman" w:cs="Times New Roman"/>
          <w:lang w:val="tr-TR"/>
        </w:rPr>
      </w:pPr>
      <w:r>
        <w:rPr>
          <w:rFonts w:ascii="Times New Roman" w:hAnsi="Times New Roman" w:cs="Times New Roman"/>
          <w:lang w:val="tr-TR"/>
        </w:rPr>
        <w:t xml:space="preserve">Çözünürlük çarpımı ifadesi yalnızca suda iyonlarına ayrışarak çözünen ve suda az çözünen iyonik katılar için yazılır. Şeker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ya da glikoz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gibi suda moleküller hâlinde çözünen maddeler iyon oluşturmadığından bu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Suda çok çözünen tuzların (NaCl, KNO</w:t>
      </w:r>
      <w:r>
        <w:rPr>
          <w:rFonts w:ascii="Times New Roman" w:hAnsi="Times New Roman" w:cs="Times New Roman"/>
          <w:vertAlign w:val="subscript"/>
          <w:lang w:val="tr-TR"/>
        </w:rPr>
        <w:t xml:space="preserve">3</w:t>
      </w:r>
      <w:r>
        <w:rPr>
          <w:rFonts w:ascii="Times New Roman" w:hAnsi="Times New Roman" w:cs="Times New Roman"/>
          <w:lang w:val="tr-TR"/>
        </w:rPr>
        <w:t xml:space="preserve"> vb.) çözünürlüğü ise genellikle 100 g suda çözünen kütle ile ifade edilir.</w:t>
      </w:r>
    </w:p>
    <w:p>
      <w:pPr>
        <w:jc w:val="both"/>
        <w:rPr>
          <w:rFonts w:ascii="Times New Roman" w:hAnsi="Times New Roman" w:cs="Times New Roman"/>
          <w:lang w:val="tr-TR"/>
        </w:rPr>
      </w:pPr>
      <w:r>
        <w:rPr>
          <w:rFonts w:ascii="Times New Roman" w:hAnsi="Times New Roman" w:cs="Times New Roman"/>
          <w:lang w:val="tr-TR"/>
        </w:rPr>
        <w:t xml:space="preserve">Molar çözünürlük ile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arasındaki ilişki, çözünme denklemindeki katsayılar kullanılarak her tuz için kurulabilir. 1 litre doymuş çözeltide s mol tuz çözündüğünde iyon derişimleri tuzun formülündeki katsayılara göre belirlenir. Örneğin baryum karbonat (BaCO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w:t>
      </w:r>
      <w:r>
        <w:rPr>
          <w:rFonts w:ascii="Times New Roman" w:hAnsi="Times New Roman" w:cs="Times New Roman"/>
          <w:lang w:val="tr-TR"/>
          <w:vertAlign w:val="superscript"/>
        </w:rPr>
        <w:t xml:space="preserve">2</w:t>
      </w:r>
      <w:r>
        <w:rPr>
          <w:rFonts w:ascii="Times New Roman" w:hAnsi="Times New Roman" w:cs="Times New Roman"/>
          <w:lang w:val="tr-TR"/>
        </w:rPr>
        <w:t xml:space="preserve">; CaF</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 2s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bscript"/>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Bi</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3s,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Aynı türdeki (formülündeki iyon sayıları aynı olan) tuzlar karşılaştırılırken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büyük olan tuzun molar çözünürlüğü de büyüktür. Örneğin AgBr’nin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(5,0·10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gümüş iyodürünkinden (AgI, 8,5·10</w:t>
      </w:r>
      <w:r>
        <w:rPr>
          <w:rFonts w:ascii="Times New Roman" w:hAnsi="Times New Roman" w:cs="Times New Roman"/>
          <w:lang w:val="tr-TR"/>
          <w:vertAlign w:val="superscript"/>
        </w:rPr>
        <w:t xml:space="preserve">-17</w:t>
      </w:r>
      <w:r>
        <w:rPr>
          <w:rFonts w:ascii="Times New Roman" w:hAnsi="Times New Roman" w:cs="Times New Roman"/>
          <w:lang w:val="tr-TR"/>
        </w:rPr>
        <w:t xml:space="preserve">) büyük olduğundan AgBr suda gümüş iyodürden daha fazla çözünür. Farklı türdeki tuzların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ise doğrudan karşılaştırılamaz; bu tuzların çözünürlükleri, molar çözünürlükleri hesaplanarak karşılaştırılmalıdır. Örneğin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(3,9·10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(5,1·10</w:t>
      </w:r>
      <w:r>
        <w:rPr>
          <w:rFonts w:ascii="Times New Roman" w:hAnsi="Times New Roman" w:cs="Times New Roman"/>
          <w:lang w:val="tr-TR"/>
          <w:vertAlign w:val="superscript"/>
        </w:rPr>
        <w:t xml:space="preserve">-9</w:t>
      </w:r>
      <w:r>
        <w:rPr>
          <w:rFonts w:ascii="Times New Roman" w:hAnsi="Times New Roman" w:cs="Times New Roman"/>
          <w:lang w:val="tr-TR"/>
        </w:rPr>
        <w:t xml:space="preserve">) küçük olduğu hâlde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molar çözünürlüğü (2,1·10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mol/L)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(7,1·10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50012"/>
            <wp:docPr id="900004" name="Grafik 900004" descr="Kçç ve 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38354" cy="235001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Suda az çözünen bazı tuzların 25 °C’deki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olan XY tuzunun 0,35 gramını tamamen çözmek için en az kaç litre su gerekir? (XY: 100 g/mol; çözeltinin hacmi suyun hacmine eşit kabul edilecektir.)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lang w:val="tr-TR"/>
        </w:rPr>
        <w:t xml:space="preserve">NOT: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genel kimya ders kitaplarında (Petrucci vb.) 25 °C için verilen değerlerdir; yayın öncesi Petrucci ek tablosu ile karşılaştırılması önerilir. Bilgi metnindeki AgI (8,5·10</w:t>
      </w:r>
      <w:r>
        <w:rPr>
          <w:rFonts w:ascii="Times New Roman" w:hAnsi="Times New Roman" w:cs="Times New Roman"/>
          <w:lang w:val="tr-TR"/>
          <w:vertAlign w:val="superscript"/>
        </w:rPr>
        <w:t xml:space="preserve">-17</w:t>
      </w:r>
      <w:r>
        <w:rPr>
          <w:rFonts w:ascii="Times New Roman" w:hAnsi="Times New Roman" w:cs="Times New Roman"/>
          <w:lang w:val="tr-TR"/>
        </w:rPr>
        <w:t xml:space="preserve">), BaCO</w:t>
      </w:r>
      <w:r>
        <w:rPr>
          <w:rFonts w:ascii="Times New Roman" w:hAnsi="Times New Roman" w:cs="Times New Roman"/>
          <w:lang w:val="tr-TR"/>
          <w:vertAlign w:val="subscript"/>
        </w:rPr>
        <w:t xml:space="preserve">3</w:t>
      </w:r>
      <w:r>
        <w:rPr>
          <w:rFonts w:ascii="Times New Roman" w:hAnsi="Times New Roman" w:cs="Times New Roman"/>
          <w:lang w:val="tr-TR"/>
        </w:rPr>
        <w:t xml:space="preserve"> (5,1·10</w:t>
      </w:r>
      <w:r>
        <w:rPr>
          <w:rFonts w:ascii="Times New Roman" w:hAnsi="Times New Roman" w:cs="Times New Roman"/>
          <w:lang w:val="tr-TR"/>
          <w:vertAlign w:val="superscript"/>
        </w:rPr>
        <w:t xml:space="preserve">-9</w:t>
      </w:r>
      <w:r>
        <w:rPr>
          <w:rFonts w:ascii="Times New Roman" w:hAnsi="Times New Roman" w:cs="Times New Roman"/>
          <w:lang w:val="tr-TR"/>
        </w:rPr>
        <w:t xml:space="preserve">) ve CaF</w:t>
      </w:r>
      <w:r>
        <w:rPr>
          <w:rFonts w:ascii="Times New Roman" w:hAnsi="Times New Roman" w:cs="Times New Roman"/>
          <w:lang w:val="tr-TR"/>
          <w:vertAlign w:val="subscript"/>
        </w:rPr>
        <w:t xml:space="preserve">2</w:t>
      </w:r>
      <w:r>
        <w:rPr>
          <w:rFonts w:ascii="Times New Roman" w:hAnsi="Times New Roman" w:cs="Times New Roman"/>
          <w:lang w:val="tr-TR"/>
        </w:rPr>
        <w:t xml:space="preserve"> (3,9·10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değerleri de aynı tür tablolardan alınmıştır; özellikle CaF</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kaynaklarda farklı değerler verildiğinden yayın öncesi kontrol edilmelidir. PbCl</w:t>
      </w:r>
      <w:r>
        <w:rPr>
          <w:rFonts w:ascii="Times New Roman" w:hAnsi="Times New Roman" w:cs="Times New Roman"/>
          <w:lang w:val="tr-TR"/>
          <w:vertAlign w:val="subscript"/>
        </w:rPr>
        <w:t xml:space="preserve">2</w:t>
      </w:r>
      <w:r>
        <w:rPr>
          <w:rFonts w:ascii="Times New Roman" w:hAnsi="Times New Roman" w:cs="Times New Roman"/>
          <w:lang w:val="tr-TR"/>
        </w:rPr>
        <w:t xml:space="preserve"> ve X</w:t>
      </w:r>
      <w:r>
        <w:rPr>
          <w:rFonts w:ascii="Times New Roman" w:hAnsi="Times New Roman" w:cs="Times New Roman"/>
          <w:lang w:val="tr-TR"/>
          <w:vertAlign w:val="subscript"/>
        </w:rPr>
        <w:t xml:space="preserve">2</w:t>
      </w:r>
      <w:r>
        <w:rPr>
          <w:rFonts w:ascii="Times New Roman" w:hAnsi="Times New Roman" w:cs="Times New Roman"/>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B314C71E"/>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 xmlns:a="http://schemas.openxmlformats.org/drawingml/2006/main" xmlns:pic="http://schemas.openxmlformats.org/drawingml/2006/picture" w:numId="56">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