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Bu soruların cevabını bir etkinlik yaparak keşfediniz. Analiz ve Keşif Atölyesi 2.8.’de bilimsel sorgulama yapacaksınız: Verilerden yola çıkarak araştırma soruları oluşturacak, iyonlaşmayı gösteren modeller geliştirecek ve pH ile iletkenlik ölçümleri yaparak asitlerin ve bazların kuvvetlerini karşılaştıracaksınız. Bulgularınızı bilimsel bilgilerle sınarken analitik düşünme eğiliminizi, açıklamalarınızı grubunuza aktarırken iletişim becerilerinizi kullanacak; farklı fikirlere açık kalıp merakınızın peşinden giderek araştırmacı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 ID: 2603514173 (fotoğraf) — Pouring apple vinegar onto salad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 ID: 2838916677 (fotoğraf) — Unbranded household cleaning product bottles on shelves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KIRILABİLİR CAM UYARISI. Ek uyarılar: Amonyak çözeltisinin buharı doğrudan koklanmamalıdır.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 İyonlaşma yüzdesi, çözeltideki asit ya da baz taneciklerinin yüzde kaçının iyonlaştığını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çözeltileri ile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 için iyonlaşma yüzdelerini dikkate alarak alt mikro seviyede birer model çiziniz. Modelinizde su moleküllerini göstermenize gerek yoktur. Modelinizin altına, her çözeltide baskın olarak bulunan tanecikleri sembollerle ve uygun okla (→ ya da ⇌) gösteren bir denklem yazarak sembolik modelinizi de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 Ölçümlere başlamadan önce grubunuzla birlikte ölçüm sırasını, görev dağılımını ve alacağınız güvenlik önlemlerini içeren kısa bir araştırma planı hazırlayınız.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Bunun için güvenilir bilimsel kaynaklara başvurunuz ve verilerinizi adım adım, analitik bir bakışla gözden geçiriniz.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Asitlerin ve bazların kuvveti, sulu çözeltilerindeki iyonlaşma yüzdeleriyle ilgilidir. Bir asidin iyonlaşma yüzdesi, asitten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asidin başlangıç derişimine oranının 100 ile çarpılmasıyla; bir bazın iyonlaşma yüzdesi ise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bazın başlangıç derişimine oranının 100 ile çarpılmasıyla bulunur. Suda tamamen (%100) iyonlaştığı kabul edilen asitlere kuvvetli asit, kısmen iyonlaşan asitlere zayıf asit denir. Bazlar için de aynı ölçüt geçerlidir: Suda tamamen iyonlaştığı kabul edilen bazlar kuvvetli baz, kısmen iyonlaşan bazlar ise zayıf bazdır (Grafik A). Kuvvetli asit ve bazların iyonlaşması tek yönlü ok (→), zayıf asit ve bazların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590805"/>
            <wp:docPr id="900003" name="Grafik 900003" descr="HBr, HClO4, HCOOH, C6H5COOH, KOH ve CH3NH2 için 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78689" cy="25908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 (Görsel C). Örneğin 25 °C’de 0,10 M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mol/L iken %2,5 oranında iyonlaşan 0,10 M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mol/L’dir. Bu nedenle aynı derişimdeki zayıf asit çözeltisinin pH değeri kuvvetli asit çözeltisininkinden büyüktür. Çözeltideki iyon sayısı fazla olduğu için kuvvetli asit ve baz çözeltilerinin elektrik iletkenliği de aynı derişimdeki zayıf asit ve baz çözeltilerininkinden yüksektir. Kuvvetli asit ve bazların sulu çözeltileri kuvvetli elektrolit, zayıf asit ve bazların sulu çözeltileri ise zayıf elektrolittir. Yaygın kuvvetli asit ve bazlar Tablo A’da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41714"/>
            <wp:docPr id="900004" name="Grafik 900004" descr="Kuvvetli (HBr) ve zayıf (HCOOH)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941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Aynı derişimdeki kuvvetli asit (HBr) ve zayıf asit (HCOOH)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iki zayıf asitten hangisinin daha kuvvetli olduğuna nasıl karar verilebilir? İyonlaşma yüzdesi çözeltinin derişimine bağlıdır. Örneğin 25 °C’de benzoik asit 0,10 M çözeltide yaklaşık %2,5, 0,0010 M çözeltide ise yaklaşık %22 oranında iyonlaşır. Bu nedenle karşılaştırma için sabit sıcaklıkta derişimden bağımsız bir ölçüte ihtiyaç vardır. Zayıf asit ve bazların iyonlaşması bir denge tepkimesi olduğu için bu dengelerin denge sabitleri asit ve bazların kuvvetini karşılaştırmada kullanılır. Bir zayıf asidin iyonlaşma tepkimesinin denge sabitine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bir zayıf bazın iyonlaşma tepkimesinin denge sabitine bazlık sabiti (K</w:t>
      </w:r>
      <w:r>
        <w:rPr>
          <w:rFonts w:ascii="Times New Roman" w:hAnsi="Times New Roman" w:cs="Times New Roman"/>
          <w:lang w:val="tr-TR"/>
          <w:vertAlign w:val="subscript"/>
        </w:rPr>
        <w:t xml:space="preserve">b</w:t>
      </w:r>
      <w:r>
        <w:rPr>
          <w:rFonts w:ascii="Times New Roman" w:hAnsi="Times New Roman" w:cs="Times New Roman"/>
          <w:lang w:val="tr-TR"/>
        </w:rPr>
        <w:t xml:space="preserve">) denir.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Aynı sıcaklıkta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 büyüdükçe asidin ya da bazın kuvveti artar (Tablo B).</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bir asidin kuvveti ile eşlenik bazının kuvveti arasında nasıl bir ilişki vardır? HBr’nin suda iyonlaşması tek yönlüdür; geri tepkime neredeyse hiç gerçekleşmediğine göre eşlenik baz Br</w:t>
      </w:r>
      <w:r>
        <w:rPr>
          <w:rFonts w:ascii="Times New Roman" w:hAnsi="Times New Roman" w:cs="Times New Roman"/>
          <w:lang w:val="tr-TR"/>
          <w:vertAlign w:val="superscript"/>
        </w:rPr>
        <w:t xml:space="preserve">−</w:t>
      </w:r>
      <w:r>
        <w:rPr>
          <w:rFonts w:ascii="Times New Roman" w:hAnsi="Times New Roman" w:cs="Times New Roman"/>
          <w:lang w:val="tr-TR"/>
        </w:rPr>
        <w:t xml:space="preserve"> suda proton alma eğilimi göstermez. Zayıf bir asit olan HCOOH’ın iyonlaşması ise denge okuyla gösterilir; eşlenik bazı HCOO</w:t>
      </w:r>
      <w:r>
        <w:rPr>
          <w:rFonts w:ascii="Times New Roman" w:hAnsi="Times New Roman" w:cs="Times New Roman"/>
          <w:lang w:val="tr-TR"/>
          <w:vertAlign w:val="superscript"/>
        </w:rPr>
        <w:t xml:space="preserve">−</w:t>
      </w:r>
      <w:r>
        <w:rPr>
          <w:rFonts w:ascii="Times New Roman" w:hAnsi="Times New Roman" w:cs="Times New Roman"/>
          <w:lang w:val="tr-TR"/>
        </w:rPr>
        <w:t xml:space="preserve"> geri tepkimede proton alabilir ve sudan proton alarak bazik özellik gösterebilir. Buna göre bir asit ne kadar kuvvetliyse eşlenik bazı o kadar zayıftır. Asitlerin kuvvetini “derişik” ya da “seyreltik” kavramlarıyla karıştırmamak gerekir: Derişim çözeltideki madde miktarını, kuvvet ise maddenin iyonlaşma eğilimini ifade eder. Örneğin 6 M HCOOH çözeltisi derişik ancak zayıf, 0,001 M HBr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HBr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HBr ise suda yaklaşık %100 iyonlaşır. Bu nedenle HBr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HI çözeltisinin elektrik iletkenliği HCN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KOH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lang w:val="tr-TR"/>
        </w:rPr>
        <w:t xml:space="preserve">NOT: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değerleri genel kimya kaynaklarındaki 25 °C değerleridir (HF için 6,8·10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kullanıldı; bazı kaynaklarda 7,2·10</w:t>
      </w:r>
      <w:r>
        <w:rPr>
          <w:rFonts w:ascii="Times New Roman" w:hAnsi="Times New Roman" w:cs="Times New Roman"/>
          <w:lang w:val="tr-TR"/>
          <w:vertAlign w:val="superscript"/>
        </w:rPr>
        <w:t xml:space="preserve">-4</w:t>
      </w:r>
      <w:r>
        <w:rPr>
          <w:rFonts w:ascii="Times New Roman" w:hAnsi="Times New Roman" w:cs="Times New Roman"/>
          <w:lang w:val="tr-TR"/>
        </w:rPr>
        <w:t xml:space="preserve">). Bilgi metnindeki örneklerde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için K</w:t>
      </w:r>
      <w:r>
        <w:rPr>
          <w:rFonts w:ascii="Times New Roman" w:hAnsi="Times New Roman" w:cs="Times New Roman"/>
          <w:lang w:val="tr-TR"/>
          <w:vertAlign w:val="subscript"/>
        </w:rPr>
        <w:t xml:space="preserve">a</w:t>
      </w:r>
      <w:r>
        <w:rPr>
          <w:rFonts w:ascii="Times New Roman" w:hAnsi="Times New Roman" w:cs="Times New Roman"/>
          <w:lang w:val="tr-TR"/>
        </w:rPr>
        <w:t xml:space="preserve"> = 6,3·10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alınmıştır. İyonlaşma yüzdeleri bu değerlerle, x</w:t>
      </w:r>
      <w:r>
        <w:rPr>
          <w:rFonts w:ascii="Times New Roman" w:hAnsi="Times New Roman" w:cs="Times New Roman"/>
          <w:lang w:val="tr-TR"/>
          <w:vertAlign w:val="superscript"/>
        </w:rPr>
        <w:t xml:space="preserve">2</w:t>
      </w:r>
      <w:r>
        <w:rPr>
          <w:rFonts w:ascii="Times New Roman" w:hAnsi="Times New Roman" w:cs="Times New Roman"/>
          <w:lang w:val="tr-TR"/>
        </w:rPr>
        <w:t xml:space="preserve">/(C − x) = K eşitliğinin tam çözümüyle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