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BÖLÜM: Çözünürlük Dengesi</w:t>
      </w:r>
    </w:p>
    <w:p>
      <w:pPr>
        <w:jc w:val="center"/>
      </w:pPr>
      <w:r>
        <w:drawing>
          <wp:inline xmlns:a="http://schemas.openxmlformats.org/drawingml/2006/main" xmlns:pic="http://schemas.openxmlformats.org/drawingml/2006/picture">
            <wp:extent cx="5400000" cy="3967200"/>
            <wp:docPr id="900014" name="Picture 900014"/>
            <wp:cNvGraphicFramePr>
              <a:graphicFrameLocks noChangeAspect="1"/>
            </wp:cNvGraphicFramePr>
            <a:graphic>
              <a:graphicData uri="http://schemas.openxmlformats.org/drawingml/2006/picture">
                <pic:pic>
                  <pic:nvPicPr>
                    <pic:cNvPr id="0" name="2760185255_d.jpg"/>
                    <pic:cNvPicPr/>
                  </pic:nvPicPr>
                  <pic:blipFill>
                    <a:blip r:embed="rId12"/>
                    <a:stretch>
                      <a:fillRect/>
                    </a:stretch>
                  </pic:blipFill>
                  <pic:spPr>
                    <a:xfrm>
                      <a:off x="0" y="0"/>
                      <a:ext cx="5400000" cy="3967200"/>
                    </a:xfrm>
                    <a:prstGeom prst="rect"/>
                  </pic:spPr>
                </pic:pic>
              </a:graphicData>
            </a:graphic>
          </wp:inline>
        </w:drawing>
      </w:r>
    </w:p>
    <w:p>
      <w:pPr>
        <w:jc w:val="center"/>
      </w:pPr>
      <w:r>
        <w:rPr>
          <w:rFonts w:ascii="Times New Roman" w:hAnsi="Times New Roman" w:cs="Times New Roman"/>
          <w:b/>
          <w:bCs/>
          <w:highlight w:val="yellow"/>
          <w:lang w:val="tr-TR"/>
        </w:rPr>
        <w:t xml:space="preserve">Shutter id: 2760185255 (bölüm kapağı, tam sayfa)</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64000" cy="1957152"/>
                  <wp:docPr id="900015" name="Picture 900015"/>
                  <wp:cNvGraphicFramePr>
                    <a:graphicFrameLocks noChangeAspect="1"/>
                  </wp:cNvGraphicFramePr>
                  <a:graphic>
                    <a:graphicData uri="http://schemas.openxmlformats.org/drawingml/2006/picture">
                      <pic:pic>
                        <pic:nvPicPr>
                          <pic:cNvPr id="0" name="2813805813_d.jpg"/>
                          <pic:cNvPicPr/>
                        </pic:nvPicPr>
                        <pic:blipFill>
                          <a:blip r:embed="rId13"/>
                          <a:stretch>
                            <a:fillRect/>
                          </a:stretch>
                        </pic:blipFill>
                        <pic:spPr>
                          <a:xfrm>
                            <a:off x="0" y="0"/>
                            <a:ext cx="2664000" cy="1957152"/>
                          </a:xfrm>
                          <a:prstGeom prst="rect"/>
                        </pic:spPr>
                      </pic:pic>
                    </a:graphicData>
                  </a:graphic>
                </wp:inline>
              </w:drawing>
            </w:r>
          </w:p>
          <w:p>
            <w:pPr>
              <w:jc w:val="center"/>
            </w:pPr>
            <w:r>
              <w:rPr>
                <w:rFonts w:ascii="Times New Roman" w:hAnsi="Times New Roman" w:cs="Times New Roman"/>
                <w:b/>
                <w:bCs/>
                <w:highlight w:val="yellow"/>
                <w:lang w:val="tr-TR"/>
              </w:rPr>
              <w:t xml:space="preserve">Shutter id: 2813805813</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Pamukkale travertenleri</w:t>
            </w:r>
          </w:p>
        </w:tc>
        <w:tc>
          <w:tcPr>
            <w:tcW w:w="4500" w:type="dxa"/>
          </w:tcPr>
          <w:p>
            <w:pPr>
              <w:jc w:val="center"/>
            </w:pPr>
            <w:r>
              <w:drawing>
                <wp:inline xmlns:a="http://schemas.openxmlformats.org/drawingml/2006/main" xmlns:pic="http://schemas.openxmlformats.org/drawingml/2006/picture">
                  <wp:extent cx="2664000" cy="1953600"/>
                  <wp:docPr id="900016" name="Picture 900016"/>
                  <wp:cNvGraphicFramePr>
                    <a:graphicFrameLocks noChangeAspect="1"/>
                  </wp:cNvGraphicFramePr>
                  <a:graphic>
                    <a:graphicData uri="http://schemas.openxmlformats.org/drawingml/2006/picture">
                      <pic:pic>
                        <pic:nvPicPr>
                          <pic:cNvPr id="0" name="2678640755_d.jpg"/>
                          <pic:cNvPicPr/>
                        </pic:nvPicPr>
                        <pic:blipFill>
                          <a:blip r:embed="rId14"/>
                          <a:stretch>
                            <a:fillRect/>
                          </a:stretch>
                        </pic:blipFill>
                        <pic:spPr>
                          <a:xfrm>
                            <a:off x="0" y="0"/>
                            <a:ext cx="2664000" cy="1953600"/>
                          </a:xfrm>
                          <a:prstGeom prst="rect"/>
                        </pic:spPr>
                      </pic:pic>
                    </a:graphicData>
                  </a:graphic>
                </wp:inline>
              </w:drawing>
            </w:r>
          </w:p>
          <w:p>
            <w:pPr>
              <w:jc w:val="center"/>
            </w:pPr>
            <w:r>
              <w:rPr>
                <w:rFonts w:ascii="Times New Roman" w:hAnsi="Times New Roman" w:cs="Times New Roman"/>
                <w:b/>
                <w:bCs/>
                <w:highlight w:val="yellow"/>
                <w:lang w:val="tr-TR"/>
              </w:rPr>
              <w:t xml:space="preserve">Shutter id: 2678640755</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Ballıca Mağarası’nda sarkıt ve dikitler</w:t>
            </w:r>
          </w:p>
        </w:tc>
      </w:tr>
    </w:tbl>
    <w:p>
      <w:pPr>
        <w:jc w:val="both"/>
        <w:rPr>
          <w:rFonts w:ascii="Times New Roman" w:hAnsi="Times New Roman" w:cs="Times New Roman"/>
          <w:lang w:val="tr-TR"/>
        </w:rPr>
      </w:pPr>
      <w:r>
        <w:rPr>
          <w:rFonts w:ascii="Times New Roman" w:hAnsi="Times New Roman" w:cs="Times New Roman"/>
          <w:lang w:val="tr-TR"/>
        </w:rPr>
        <w:t xml:space="preserve">Pamukkale’nin bembeyaz travertenleri (Görsel A), yüzyıllar boyunca yer altından gelen sıcak sulardaki kalsiyum ve karbonat iyonlarının kalsiyum karbonat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hâlinde çökmesiyle oluşmuştur. Aynı tuz, yağmur sularının etkisiyle kireç taşı kayaçlarından yavaş yavaş çözünerek mağaraların oluşmasını sağlar (Görsel B). Doğadaki bu yapılar, suda çok az çözünen bir tuzun hem çözünebildiğini hem de koşullar değiştiğinde yeniden çökebildiğini gösterir.</w:t>
      </w:r>
    </w:p>
    <w:p>
      <w:pPr>
        <w:jc w:val="both"/>
        <w:rPr>
          <w:rFonts w:ascii="Times New Roman" w:hAnsi="Times New Roman" w:cs="Times New Roman"/>
          <w:lang w:val="tr-TR"/>
        </w:rPr>
      </w:pPr>
      <w:r>
        <w:rPr>
          <w:rFonts w:ascii="Times New Roman" w:hAnsi="Times New Roman" w:cs="Times New Roman"/>
          <w:lang w:val="tr-TR"/>
        </w:rPr>
        <w:t xml:space="preserve">Suda az çözünen tuzlar günlük hayatımızda da sık sık karşımıza çıkar. Çaydanlıkların dibinde biriken kireç, böbreklerde oluşabilen taşlar ve dişlerimizin mine tabakası bu tuzlardan oluşur. Mide ve bağırsakların röntgen görüntüsü alınırken hastalara içirilen baryum sülfat ise suda çok az çözündüğü için baryum iyonlarının vücuda geçmesine izin vermez ve güvenle kullanılabilir.</w:t>
      </w:r>
    </w:p>
    <w:p>
      <w:pPr>
        <w:jc w:val="both"/>
        <w:rPr>
          <w:rFonts w:ascii="Times New Roman" w:hAnsi="Times New Roman" w:cs="Times New Roman"/>
          <w:lang w:val="tr-TR"/>
        </w:rPr>
      </w:pPr>
      <w:r>
        <w:rPr>
          <w:rFonts w:ascii="Times New Roman" w:hAnsi="Times New Roman" w:cs="Times New Roman"/>
          <w:lang w:val="tr-TR"/>
        </w:rPr>
        <w:t xml:space="preserve">Suda az çözünen bir tuz suyla temas ettiğinde gözle görülür bir değişim olmasa da tanecik düzeyinde çözünme ve çökelme süreçleri hiç durmadan devam eder. Bu süreç de önceki bölümlerde incelediğiniz dengelere benzer bir dengedir.</w:t>
      </w:r>
    </w:p>
    <w:p>
      <w:pPr>
        <w:jc w:val="both"/>
        <w:rPr>
          <w:rFonts w:ascii="Times New Roman" w:hAnsi="Times New Roman" w:cs="Times New Roman"/>
          <w:lang w:val="tr-TR"/>
        </w:rPr>
      </w:pPr>
      <w:r>
        <w:rPr>
          <w:rFonts w:ascii="Times New Roman" w:hAnsi="Times New Roman" w:cs="Times New Roman"/>
          <w:lang w:val="tr-TR"/>
        </w:rPr>
        <w:t xml:space="preserve">Bu bölümde suda az çözünen tuzların çözünürlüğünü bir denge süreci olarak inceleyecek, çözünürlüğü nicel olarak ifade etmeyi ve çözünürlüğe etki eden faktörleri keşfedeceksiniz.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2.3.</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Çözünürlük nedir? Bir maddenin çözünürlüğünü etkileyen faktörleri önceki bilgilerinizi kullanarak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Doymuş, doymamış ve aşırı doymuş çözeltileri birer örnekle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Dibinde katısı bulunan doymuş bir tuz çözeltisinde çözünme durmuş mudur? Denge bölümünde öğrendiklerinizle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İki çözelti karıştırıldığında dibe çöken bir katı (çökelek) oluşmasına günlük hayattan ya da laboratuvardan örnekler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2.3.1. Suda Az Çözünen Tuzların Molar Çözünürlükleri ve Çözünürlük Çarpımı</w:t>
      </w:r>
    </w:p>
    <w:p>
      <w:pPr>
        <w:jc w:val="both"/>
        <w:rPr>
          <w:rFonts w:ascii="Times New Roman" w:hAnsi="Times New Roman" w:cs="Times New Roman"/>
          <w:lang w:val="tr-TR"/>
        </w:rPr>
      </w:pPr>
      <w:r>
        <w:rPr>
          <w:rFonts w:ascii="Times New Roman" w:hAnsi="Times New Roman" w:cs="Times New Roman"/>
          <w:lang w:val="tr-TR"/>
        </w:rPr>
        <w:t xml:space="preserve">Dişler neden çürür? Çocukların dişleri yetişkinlere göre neden daha fazla çürür (Görsel C)? Dişlerin dış yüzeyini kaplayan mine tabakası büyük ölçüde hidroksiapatit [Ca</w:t>
      </w:r>
      <w:r>
        <w:rPr>
          <w:rFonts w:ascii="Times New Roman" w:hAnsi="Times New Roman" w:cs="Times New Roman"/>
          <w:lang w:val="tr-TR"/>
          <w:vertAlign w:val="subscript"/>
        </w:rPr>
        <w:t xml:space="preserve">5</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rPr>
        <w:t xml:space="preserve">)</w:t>
      </w:r>
      <w:r>
        <w:rPr>
          <w:rFonts w:ascii="Times New Roman" w:hAnsi="Times New Roman" w:cs="Times New Roman"/>
          <w:lang w:val="tr-TR"/>
          <w:vertAlign w:val="subscript"/>
        </w:rPr>
        <w:t xml:space="preserve">3</w:t>
      </w:r>
      <w:r>
        <w:rPr>
          <w:rFonts w:ascii="Times New Roman" w:hAnsi="Times New Roman" w:cs="Times New Roman"/>
          <w:lang w:val="tr-TR"/>
        </w:rPr>
        <w:t xml:space="preserve">OH] adı verilen ve suda çok az çözünen bir tuzdan oluşur. Ağızdaki tükürük ile mine tabakası arasında sürekli bir iyon alışverişi gerçekleşir: Mine yüzeyinden bazı iyonlar tükürüğe geçerken tükürükteki bazı iyonlar da yeniden mine yüzeyine bağlanır (Görsel D). Şekerli yiyecekler tüketildikten sonra ağızdaki bakterilerin oluşturduğu asitler bu dengeyi bozabilir. Peki suda “çözünmez” olarak bilinen bir tuz gerçekten hiç çözünmez mi? Suda az çözünen tuzların ne kadar çözündüğü nasıl ifade edilebilir? Bu soruların cevabını Analiz ve Keşif Atölyesi 2.13.’te kendi oluşturacağınız bir bilimsel modelle arayınız. Etkinlikte az çözünen bir tuzun suda çözünme sürecini tanecik düzeyinde modelleyecek, modelinizi bilim insanlarının kabul ettiği modelle karşılaştırarak geliştirecek ve verilen değerlerden yola çıkarak tuzların çözünürlükleri hakkında yargıya varacaksınız. Modelinizi eleştirel bir gözle değerlendirip eksiklerini fark etmeniz analitik düşünmenizi de güçlendirecektir.</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64000" cy="1953600"/>
                  <wp:docPr id="900017" name="Picture 900017"/>
                  <wp:cNvGraphicFramePr>
                    <a:graphicFrameLocks noChangeAspect="1"/>
                  </wp:cNvGraphicFramePr>
                  <a:graphic>
                    <a:graphicData uri="http://schemas.openxmlformats.org/drawingml/2006/picture">
                      <pic:pic>
                        <pic:nvPicPr>
                          <pic:cNvPr id="0" name="2601219685_d.jpg"/>
                          <pic:cNvPicPr/>
                        </pic:nvPicPr>
                        <pic:blipFill>
                          <a:blip r:embed="rId15"/>
                          <a:stretch>
                            <a:fillRect/>
                          </a:stretch>
                        </pic:blipFill>
                        <pic:spPr>
                          <a:xfrm>
                            <a:off x="0" y="0"/>
                            <a:ext cx="2664000" cy="1953600"/>
                          </a:xfrm>
                          <a:prstGeom prst="rect"/>
                        </pic:spPr>
                      </pic:pic>
                    </a:graphicData>
                  </a:graphic>
                </wp:inline>
              </w:drawing>
            </w:r>
          </w:p>
          <w:p>
            <w:pPr>
              <w:jc w:val="center"/>
            </w:pPr>
            <w:r>
              <w:rPr>
                <w:rFonts w:ascii="Times New Roman" w:hAnsi="Times New Roman" w:cs="Times New Roman"/>
                <w:b/>
                <w:bCs/>
                <w:highlight w:val="yellow"/>
                <w:lang w:val="tr-TR"/>
              </w:rPr>
              <w:t xml:space="preserve">Shutter id: 2601219685</w:t>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Dişlerini fırçalayan bir çocuk</w:t>
            </w:r>
          </w:p>
        </w:tc>
        <w:tc>
          <w:tcPr>
            <w:tcW w:w="4500" w:type="dxa"/>
          </w:tcPr>
          <w:p>
            <w:pPr>
              <w:jc w:val="center"/>
            </w:pPr>
            <w:r>
              <w:drawing>
                <wp:inline xmlns:a="http://schemas.openxmlformats.org/drawingml/2006/main" xmlns:pic="http://schemas.openxmlformats.org/drawingml/2006/picture">
                  <wp:extent cx="2113878" cy="1979999"/>
                  <wp:docPr id="900013" name="Picture 900013"/>
                  <wp:cNvGraphicFramePr>
                    <a:graphicFrameLocks noChangeAspect="1"/>
                  </wp:cNvGraphicFramePr>
                  <a:graphic>
                    <a:graphicData uri="http://schemas.openxmlformats.org/drawingml/2006/picture">
                      <pic:pic>
                        <pic:nvPicPr>
                          <pic:cNvPr id="0" name="2072502239_d.jpg"/>
                          <pic:cNvPicPr/>
                        </pic:nvPicPr>
                        <pic:blipFill>
                          <a:blip r:embed="rId11"/>
                          <a:stretch>
                            <a:fillRect/>
                          </a:stretch>
                        </pic:blipFill>
                        <pic:spPr>
                          <a:xfrm>
                            <a:off x="0" y="0"/>
                            <a:ext cx="2113878" cy="1979999"/>
                          </a:xfrm>
                          <a:prstGeom prst="rect"/>
                        </pic:spPr>
                      </pic:pic>
                    </a:graphicData>
                  </a:graphic>
                </wp:inline>
              </w:drawing>
            </w:r>
          </w:p>
          <w:p>
            <w:pPr>
              <w:jc w:val="center"/>
            </w:pPr>
            <w:r>
              <w:rPr>
                <w:rFonts w:ascii="Times New Roman" w:hAnsi="Times New Roman" w:cs="Times New Roman"/>
                <w:b/>
                <w:bCs/>
                <w:highlight w:val="yellow"/>
                <w:lang w:val="tr-TR"/>
              </w:rPr>
              <w:t xml:space="preserve">Shutter id: 2072502239</w:t>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Diş minesinin yapısı</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2.13.</w:t>
      </w:r>
    </w:p>
    <w:p>
      <w:pPr>
        <w:jc w:val="both"/>
        <w:rPr>
          <w:rFonts w:ascii="Times New Roman" w:hAnsi="Times New Roman" w:cs="Times New Roman"/>
          <w:lang w:val="tr-TR"/>
        </w:rPr>
      </w:pPr>
      <w:r>
        <w:rPr>
          <w:rFonts w:ascii="Times New Roman" w:hAnsi="Times New Roman" w:cs="Times New Roman"/>
          <w:b/>
          <w:bCs/>
          <w:lang w:val="tr-TR"/>
        </w:rPr>
        <w:t xml:space="preserve">1. Aşama: Çözünme Sürecini Modelleme</w:t>
      </w:r>
    </w:p>
    <w:p>
      <w:pPr>
        <w:jc w:val="both"/>
        <w:rPr>
          <w:rFonts w:ascii="Times New Roman" w:hAnsi="Times New Roman" w:cs="Times New Roman"/>
          <w:lang w:val="tr-TR"/>
        </w:rPr>
      </w:pPr>
      <w:r>
        <w:rPr>
          <w:rFonts w:ascii="Times New Roman" w:hAnsi="Times New Roman" w:cs="Times New Roman"/>
          <w:lang w:val="tr-TR"/>
        </w:rPr>
        <w:t xml:space="preserve">Gümüş klorür (AgCl), suda çok az çözünen tuzlara bir örnektir. Bir miktar AgCl katısı suya eklenip uzun süre karıştırıldığında kabın dibinde çözünmeden kalan katı bulunur. AgCl’nin suda çözünme denklemi aşağıda verilmiştir:</w:t>
      </w:r>
    </w:p>
    <w:p>
      <w:pPr>
        <w:jc w:val="center"/>
        <w:rPr>
          <w:rFonts w:ascii="Times New Roman" w:hAnsi="Times New Roman" w:cs="Times New Roman"/>
          <w:lang w:val="tr-TR"/>
        </w:rPr>
      </w:pPr>
      <w:r>
        <w:rPr>
          <w:rFonts w:ascii="Times New Roman" w:hAnsi="Times New Roman" w:cs="Times New Roman"/>
          <w:lang w:val="tr-TR"/>
        </w:rPr>
        <w:t xml:space="preserve">AgCl(k)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AgCl katısının suya eklendiği andan çözeltinin doymuş hâle geldiği ana kadar tanecik düzeyinde neler olduğunu düşününüz. Bu süreci açıklamak için bir model öneriniz ve önerdiğiniz modeli en az üç aşamada gösteren alt mikro düzeyde bir çizimle ifade ediniz. Modelinizde Ag</w:t>
      </w:r>
      <w:r>
        <w:rPr>
          <w:rFonts w:ascii="Times New Roman" w:hAnsi="Times New Roman" w:cs="Times New Roman"/>
          <w:lang w:val="tr-TR"/>
          <w:vertAlign w:val="superscript"/>
        </w:rPr>
        <w:t xml:space="preserve">+</w:t>
      </w:r>
      <w:r>
        <w:rPr>
          <w:rFonts w:ascii="Times New Roman" w:hAnsi="Times New Roman" w:cs="Times New Roman"/>
          <w:lang w:val="tr-TR"/>
        </w:rPr>
        <w:t xml:space="preserve"> ve Cl</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 farklı sembollerle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3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Modelinizi karekodda yer alan animasyonda gösterilen bilimsel modelle karşılaştırınız. Modelinizin benzer ve farklı yönlerini yazınız. Animasyondan edindiğiniz yeni kanıtlara dayanarak modelinizin eksik ya da hatalı yönlerini eleştirel bir gözle belirleyiniz ve modelinizi yenileyiniz.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Kabın dibinde katı bulunan doymuş AgCl çözeltisinde çözünme olayı durmuş mudur?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Suda az çözünen bir tuzun çözünme sürecini alt mikro düzeyde gösteren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Animasyon (Kim11.2.13)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(Kim11.2.13)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Çözünürlük Çarpımı ile Çözünürlük Arasındaki İlişki</w:t>
      </w:r>
    </w:p>
    <w:p>
      <w:pPr>
        <w:jc w:val="both"/>
        <w:rPr>
          <w:rFonts w:ascii="Times New Roman" w:hAnsi="Times New Roman" w:cs="Times New Roman"/>
          <w:lang w:val="tr-TR"/>
        </w:rPr>
      </w:pPr>
      <w:r>
        <w:rPr>
          <w:rFonts w:ascii="Times New Roman" w:hAnsi="Times New Roman" w:cs="Times New Roman"/>
          <w:lang w:val="tr-TR"/>
        </w:rPr>
        <w:t xml:space="preserve">Aşağıdaki tabloda suda az çözünen bazı tuzların 25 °C’deki çözünme denklemleri ve çözünürlük çarpımı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5000"/>
        <w:gridCol w:w="2400"/>
      </w:tblGrid>
      <w:tr>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Tuz</w:t>
            </w:r>
          </w:p>
        </w:tc>
        <w:tc>
          <w:tcPr>
            <w:tcW w:w="5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Çözünme denklemi</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çç</w:t>
            </w:r>
            <w:r>
              <w:rPr>
                <w:rFonts w:ascii="Times New Roman" w:hAnsi="Times New Roman" w:cs="Times New Roman"/>
                <w:b/>
                <w:bCs/>
                <w:lang w:val="tr-TR"/>
              </w:rPr>
              <w:t xml:space="preserve"> (25 °C)</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AgCl</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AgCl(k)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-10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AgBr</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AgBr(k)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Br</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5,0·10</w:t>
            </w:r>
            <w:r>
              <w:rPr>
                <w:rFonts w:ascii="Times New Roman" w:hAnsi="Times New Roman" w:cs="Times New Roman"/>
                <w:vertAlign w:val="superscript"/>
                <w:lang w:val="tr-TR"/>
              </w:rPr>
              <w:t xml:space="preserve">-13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BaSO</w:t>
            </w:r>
            <w:r>
              <w:rPr>
                <w:rFonts w:ascii="Times New Roman" w:hAnsi="Times New Roman" w:cs="Times New Roman"/>
                <w:vertAlign w:val="subscript"/>
                <w:lang w:val="tr-TR"/>
              </w:rPr>
              <w:t xml:space="preserve">4</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BaSO</w:t>
            </w:r>
            <w:r>
              <w:rPr>
                <w:rFonts w:ascii="Times New Roman" w:hAnsi="Times New Roman" w:cs="Times New Roman"/>
                <w:vertAlign w:val="subscript"/>
                <w:lang w:val="tr-TR"/>
              </w:rPr>
              <w:t xml:space="preserve">4</w:t>
            </w:r>
            <w:r>
              <w:rPr>
                <w:rFonts w:ascii="Times New Roman" w:hAnsi="Times New Roman" w:cs="Times New Roman"/>
                <w:lang w:val="tr-TR"/>
              </w:rPr>
              <w:t xml:space="preserve">(k) ⇌ Ba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1,1·10</w:t>
            </w:r>
            <w:r>
              <w:rPr>
                <w:rFonts w:ascii="Times New Roman" w:hAnsi="Times New Roman" w:cs="Times New Roman"/>
                <w:vertAlign w:val="superscript"/>
                <w:lang w:val="tr-TR"/>
              </w:rPr>
              <w:t xml:space="preserve">-10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2,8·10</w:t>
            </w:r>
            <w:r>
              <w:rPr>
                <w:rFonts w:ascii="Times New Roman" w:hAnsi="Times New Roman" w:cs="Times New Roman"/>
                <w:vertAlign w:val="superscript"/>
                <w:lang w:val="tr-TR"/>
              </w:rPr>
              <w:t xml:space="preserve">-9</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CrO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1,1·10</w:t>
            </w:r>
            <w:r>
              <w:rPr>
                <w:rFonts w:ascii="Times New Roman" w:hAnsi="Times New Roman" w:cs="Times New Roman"/>
                <w:vertAlign w:val="superscript"/>
                <w:lang w:val="tr-TR"/>
              </w:rPr>
              <w:t xml:space="preserve">-12</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(k)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-11</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vertAlign w:val="subscript"/>
                <w:lang w:val="tr-TR"/>
              </w:rPr>
              <w:t xml:space="preserve">2</w:t>
            </w:r>
          </w:p>
        </w:tc>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vertAlign w:val="subscript"/>
                <w:lang w:val="tr-TR"/>
              </w:rPr>
              <w:t xml:space="preserve">2</w:t>
            </w:r>
            <w:r>
              <w:rPr>
                <w:rFonts w:ascii="Times New Roman" w:hAnsi="Times New Roman" w:cs="Times New Roman"/>
                <w:lang w:val="tr-TR"/>
              </w:rPr>
              <w:t xml:space="preserv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+ 2I</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7,1·10</w:t>
            </w:r>
            <w:r>
              <w:rPr>
                <w:rFonts w:ascii="Times New Roman" w:hAnsi="Times New Roman" w:cs="Times New Roman"/>
                <w:vertAlign w:val="superscript"/>
                <w:lang w:val="tr-TR"/>
              </w:rPr>
              <w:t xml:space="preserve">-9</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Suda az çözünen bir tuzun doymuş çözeltisinde katı tuz ile çözeltideki iyonları arasında dinamik bir denge kurulur. Bu dengenin denge sabitine çözünürlük çarpımı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denir. Diğer denge sabiti ifadelerinde olduğu gibi her iyonun derişimi, çözünme denklemindeki katsayısı kadar üssü alınarak yazılır. Saf katının derişimi sabit sıcaklıkta değişmediği için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ifadesinde yer almaz. Örneğin:</w:t>
            </w:r>
          </w:p>
          <w:p>
            <w:pPr>
              <w:jc w:val="both"/>
              <w:rPr>
                <w:rFonts w:ascii="Times New Roman" w:hAnsi="Times New Roman" w:cs="Times New Roman"/>
                <w:lang w:val="tr-TR"/>
              </w:rPr>
            </w:pPr>
            <w:r>
              <w:rPr>
                <w:rFonts w:ascii="Times New Roman" w:hAnsi="Times New Roman" w:cs="Times New Roman"/>
                <w:lang w:val="tr-TR"/>
              </w:rPr>
              <w:t xml:space="preserve">AgCl(k)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Belirli bir sıcaklıkta 1 litre doymuş çözeltide çözünmüş hâlde bulunan tuzun mol sayısına molar çözünürlük (s) denir. Birimi mol/L’dir.</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Not kâğıdındaki bilgilerden yararlanarak tablodaki AgCl,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ve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tuzları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ifadelerini yazınız.</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Molar çözünürlüğü s olan bir AgCl çözeltisinde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ve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değerlerini s cinsinden ifade ediniz. Buna göre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ile s arasındaki ilişkiyi yazarak AgCl’nin molar çözünürlüğünü hesaplayınız.</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Aynı yolu izleyerek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tuzunun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6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Tablodaki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değerlerine bakarak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küçük olan tuzun çözünürlüğü her zaman daha azdır.” önermesini AgCl ve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için hesapladığınız molar çözünürlükleri kullanarak sorgulayınız. Hangi durumda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doğrudan karşılaştırılarak çözünürlükler hakkında yargıya varılabilir?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Diş minesinin hidroksiapatitten oluştuğunu dikkate alarak dişlerin neden çürüyebileceğine ve çocukların dişlerinin neden daha kolay çürüyebileceğine ilişkin düşüncelerinizi gerekçeleriyle yazınız. Düşüncelerinizi arkadaşlarınızla paylaşınız.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2.13.’te oluşturduğunuz model, günlük dilde “suda çözünmez” denen tuzların da çok küçük bir miktarının suda çözündüğünü gösterir; aslında suda hiç çözünmeyen iyonik katı yoktur. Doğada florit minerali olarak bulunan kalsiyum florür (CaF</w:t>
      </w:r>
      <w:r>
        <w:rPr>
          <w:rFonts w:ascii="Times New Roman" w:hAnsi="Times New Roman" w:cs="Times New Roman"/>
          <w:lang w:val="tr-TR"/>
          <w:vertAlign w:val="subscript"/>
        </w:rPr>
        <w:t xml:space="preserve">2</w:t>
      </w:r>
      <w:r>
        <w:rPr>
          <w:rFonts w:ascii="Times New Roman" w:hAnsi="Times New Roman" w:cs="Times New Roman"/>
          <w:lang w:val="tr-TR"/>
        </w:rPr>
        <w:t xml:space="preserve">) de suda çok az çözünen bir tuzdur. CaF</w:t>
      </w:r>
      <w:r>
        <w:rPr>
          <w:rFonts w:ascii="Times New Roman" w:hAnsi="Times New Roman" w:cs="Times New Roman"/>
          <w:lang w:val="tr-TR"/>
          <w:vertAlign w:val="subscript"/>
        </w:rPr>
        <w:t xml:space="preserve">2</w:t>
      </w:r>
      <w:r>
        <w:rPr>
          <w:rFonts w:ascii="Times New Roman" w:hAnsi="Times New Roman" w:cs="Times New Roman"/>
          <w:lang w:val="tr-TR"/>
        </w:rPr>
        <w:t xml:space="preserve"> katısı suya eklendiğinde katının yüzeyindeki Ca</w:t>
      </w:r>
      <w:r>
        <w:rPr>
          <w:rFonts w:ascii="Times New Roman" w:hAnsi="Times New Roman" w:cs="Times New Roman"/>
          <w:lang w:val="tr-TR"/>
          <w:vertAlign w:val="superscript"/>
        </w:rPr>
        <w:t xml:space="preserve">2+</w:t>
      </w:r>
      <w:r>
        <w:rPr>
          <w:rFonts w:ascii="Times New Roman" w:hAnsi="Times New Roman" w:cs="Times New Roman"/>
          <w:lang w:val="tr-TR"/>
        </w:rPr>
        <w:t xml:space="preserve"> ve F</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su molekülleri tarafından çekilerek çözeltiye geçer. Çözeltideki iyon derişimi arttıkça iyonların katı yüzeyine çarpıp yeniden kristale bağlanması (çökelme) da hızlanır. Bir süre sonra birim zamanda çözünen ve çöken tuz miktarları eşitlenir (Görsel E). Bu durumda çözelti doymuştur ve katı ile çözeltideki iyonları arasında aşağıdaki denge kurulmuştur:</w:t>
      </w:r>
    </w:p>
    <w:p>
      <w:pPr>
        <w:jc w:val="center"/>
        <w:rPr>
          <w:rFonts w:ascii="Times New Roman" w:hAnsi="Times New Roman" w:cs="Times New Roman"/>
          <w:lang w:val="tr-TR"/>
        </w:rPr>
      </w:pPr>
      <w:r>
        <w:rPr>
          <w:rFonts w:ascii="Times New Roman" w:hAnsi="Times New Roman" w:cs="Times New Roman"/>
          <w:lang w:val="tr-TR"/>
        </w:rPr>
        <w:t xml:space="preserve">CaF</w:t>
      </w:r>
      <w:r>
        <w:rPr>
          <w:rFonts w:ascii="Times New Roman" w:hAnsi="Times New Roman" w:cs="Times New Roman"/>
          <w:lang w:val="tr-TR"/>
          <w:vertAlign w:val="subscript"/>
        </w:rPr>
        <w:t xml:space="preserve">2</w:t>
      </w:r>
      <w:r>
        <w:rPr>
          <w:rFonts w:ascii="Times New Roman" w:hAnsi="Times New Roman" w:cs="Times New Roman"/>
          <w:lang w:val="tr-TR"/>
        </w:rPr>
        <w:t xml:space="preserve">(k) ⇌ Ca</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+ 2F</w:t>
      </w:r>
      <w:r>
        <w:rPr>
          <w:rFonts w:ascii="Times New Roman" w:hAnsi="Times New Roman" w:cs="Times New Roman"/>
          <w:lang w:val="tr-TR"/>
          <w:vertAlign w:val="superscript"/>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Çözünme hızının çökelme hızına eşit olduğu bu dengeye çözünürlük dengesi denir. Çözünürlük dengesi dinamik bir dengedir; çözeltinin makroskobik özellikleri değişmese de çözünme ve çökelme olayları aynı hızla sürer.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57683" cy="2697485"/>
            <wp:docPr id="900003" name="Grafik 900003" descr="CaF2 çözünme süreç model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5757683" cy="269748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Görsel E: Suda az çözünen CaF</w:t>
      </w:r>
      <w:r>
        <w:rPr>
          <w:rFonts w:ascii="Times New Roman" w:hAnsi="Times New Roman" w:cs="Times New Roman"/>
          <w:lang w:val="tr-TR"/>
          <w:vertAlign w:val="subscript"/>
        </w:rPr>
        <w:t xml:space="preserve">2</w:t>
      </w:r>
      <w:r>
        <w:rPr>
          <w:rFonts w:ascii="Times New Roman" w:hAnsi="Times New Roman" w:cs="Times New Roman"/>
          <w:lang w:val="tr-TR"/>
        </w:rPr>
        <w:t xml:space="preserve"> tuzunun çözünme sürecinin alt mikro düzeyde aşamalı modeli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Taslak modeldir; yayınevi tarafından su moleküllerinin iyonları sardığı (hidratasyon) ayrıntı da eklenerek vektörel olarak yeniden çizilebilir.</w:t>
      </w:r>
    </w:p>
    <w:p>
      <w:pPr>
        <w:jc w:val="both"/>
        <w:rPr>
          <w:rFonts w:ascii="Times New Roman" w:hAnsi="Times New Roman" w:cs="Times New Roman"/>
          <w:lang w:val="tr-TR"/>
        </w:rPr>
      </w:pPr>
      <w:r>
        <w:rPr>
          <w:rFonts w:ascii="Times New Roman" w:hAnsi="Times New Roman" w:cs="Times New Roman"/>
          <w:lang w:val="tr-TR"/>
        </w:rPr>
        <w:t xml:space="preserve">Dibinde çözünmeden kalan katı bulunan ve dengeye ulaşmış bir çözelti, o sıcaklıkta daha fazla tuz çözemez. Önceki sınıflardan hatırlayacağınız gibi belirli bir sıcaklıkta çözebileceğinden daha az madde çözmüş olan çözeltiye doymamış çözelti, çözebileceği en fazla maddeyi çözmüş çözeltiye doymuş çözelti denir. Bazı durumlarda, örneğin sıcakta hazırlanmış doymuş bir çözelti dikkatlice soğutulduğunda, çözelti çözünürlüğünden daha fazla madde içerebilir. Bu kararsız çözeltilere aşırı doymuş çözelti denir. Aşırı doymuş çözeltiye küçük bir kristal eklendiğinde fazla madde hızla çöker.</w:t>
      </w:r>
    </w:p>
    <w:p>
      <w:pPr>
        <w:jc w:val="both"/>
        <w:rPr>
          <w:rFonts w:ascii="Times New Roman" w:hAnsi="Times New Roman" w:cs="Times New Roman"/>
          <w:lang w:val="tr-TR"/>
        </w:rPr>
      </w:pPr>
      <w:r>
        <w:rPr>
          <w:rFonts w:ascii="Times New Roman" w:hAnsi="Times New Roman" w:cs="Times New Roman"/>
          <w:lang w:val="tr-TR"/>
        </w:rPr>
        <w:t xml:space="preserve">Suda az çözünen bir X</w:t>
      </w:r>
      <w:r>
        <w:rPr>
          <w:rFonts w:ascii="Times New Roman" w:hAnsi="Times New Roman" w:cs="Times New Roman"/>
          <w:lang w:val="tr-TR"/>
          <w:vertAlign w:val="subscript"/>
        </w:rPr>
        <w:t xml:space="preserve">a</w:t>
      </w:r>
      <w:r>
        <w:rPr>
          <w:rFonts w:ascii="Times New Roman" w:hAnsi="Times New Roman" w:cs="Times New Roman"/>
          <w:lang w:val="tr-TR"/>
        </w:rPr>
        <w:t xml:space="preserve">Y</w:t>
      </w:r>
      <w:r>
        <w:rPr>
          <w:rFonts w:ascii="Times New Roman" w:hAnsi="Times New Roman" w:cs="Times New Roman"/>
          <w:lang w:val="tr-TR"/>
          <w:vertAlign w:val="subscript"/>
        </w:rPr>
        <w:t xml:space="preserve">b</w:t>
      </w:r>
      <w:r>
        <w:rPr>
          <w:rFonts w:ascii="Times New Roman" w:hAnsi="Times New Roman" w:cs="Times New Roman"/>
          <w:lang w:val="tr-TR"/>
        </w:rPr>
        <w:t xml:space="preserve"> tuzunun çözünürlük dengesi ve çözünürlük çarpımı ifadesi genel olarak aşağıdaki gibi yazılır:</w:t>
      </w:r>
    </w:p>
    <w:p>
      <w:pPr>
        <w:jc w:val="center"/>
        <w:rPr>
          <w:rFonts w:ascii="Times New Roman" w:hAnsi="Times New Roman" w:cs="Times New Roman"/>
          <w:lang w:val="tr-TR"/>
        </w:rPr>
      </w:pPr>
      <w:r>
        <w:rPr>
          <w:rFonts w:ascii="Times New Roman" w:hAnsi="Times New Roman" w:cs="Times New Roman"/>
          <w:lang w:val="tr-TR"/>
        </w:rPr>
        <w:t xml:space="preserve">X</w:t>
      </w:r>
      <w:r>
        <w:rPr>
          <w:rFonts w:ascii="Times New Roman" w:hAnsi="Times New Roman" w:cs="Times New Roman"/>
          <w:vertAlign w:val="subscript"/>
          <w:lang w:val="tr-TR"/>
        </w:rPr>
        <w:t xml:space="preserve">a</w:t>
      </w:r>
      <w:r>
        <w:rPr>
          <w:rFonts w:ascii="Times New Roman" w:hAnsi="Times New Roman" w:cs="Times New Roman"/>
          <w:lang w:val="tr-TR"/>
        </w:rPr>
        <w:t xml:space="preserve">Y</w:t>
      </w:r>
      <w:r>
        <w:rPr>
          <w:rFonts w:ascii="Times New Roman" w:hAnsi="Times New Roman" w:cs="Times New Roman"/>
          <w:vertAlign w:val="subscript"/>
          <w:lang w:val="tr-TR"/>
        </w:rPr>
        <w:t xml:space="preserve">b</w:t>
      </w:r>
      <w:r>
        <w:rPr>
          <w:rFonts w:ascii="Times New Roman" w:hAnsi="Times New Roman" w:cs="Times New Roman"/>
          <w:lang w:val="tr-TR"/>
        </w:rPr>
        <w:t xml:space="preserve">(k) ⇌ aX</w:t>
      </w:r>
      <w:r>
        <w:rPr>
          <w:rFonts w:ascii="Times New Roman" w:hAnsi="Times New Roman" w:cs="Times New Roman"/>
          <w:vertAlign w:val="superscript"/>
          <w:lang w:val="tr-TR"/>
        </w:rPr>
        <w:t xml:space="preserve">b+</w:t>
      </w:r>
      <w:r>
        <w:rPr>
          <w:rFonts w:ascii="Times New Roman" w:hAnsi="Times New Roman" w:cs="Times New Roman"/>
          <w:lang w:val="tr-TR"/>
        </w:rPr>
        <w:t xml:space="preserve">(suda) + bY</w:t>
      </w:r>
      <w:r>
        <w:rPr>
          <w:rFonts w:ascii="Times New Roman" w:hAnsi="Times New Roman" w:cs="Times New Roman"/>
          <w:vertAlign w:val="superscript"/>
          <w:lang w:val="tr-TR"/>
        </w:rPr>
        <w:t xml:space="preserve">a−</w:t>
      </w:r>
      <w:r>
        <w:rPr>
          <w:rFonts w:ascii="Times New Roman" w:hAnsi="Times New Roman" w:cs="Times New Roman"/>
          <w:lang w:val="tr-TR"/>
        </w:rPr>
        <w:t xml:space="preserve">(suda)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[X</w:t>
      </w:r>
      <w:r>
        <w:rPr>
          <w:rFonts w:ascii="Times New Roman" w:hAnsi="Times New Roman" w:cs="Times New Roman"/>
          <w:vertAlign w:val="superscript"/>
          <w:lang w:val="tr-TR"/>
        </w:rPr>
        <w:t xml:space="preserve">b+</w:t>
      </w:r>
      <w:r>
        <w:rPr>
          <w:rFonts w:ascii="Times New Roman" w:hAnsi="Times New Roman" w:cs="Times New Roman"/>
          <w:lang w:val="tr-TR"/>
        </w:rPr>
        <w:t xml:space="preserve">]</w:t>
      </w:r>
      <w:r>
        <w:rPr>
          <w:rFonts w:ascii="Times New Roman" w:hAnsi="Times New Roman" w:cs="Times New Roman"/>
          <w:vertAlign w:val="superscript"/>
          <w:lang w:val="tr-TR"/>
        </w:rPr>
        <w:t xml:space="preserve">a</w:t>
      </w:r>
      <w:r>
        <w:rPr>
          <w:rFonts w:ascii="Times New Roman" w:hAnsi="Times New Roman" w:cs="Times New Roman"/>
          <w:lang w:val="tr-TR"/>
        </w:rPr>
        <w:t xml:space="preserve">[Y</w:t>
      </w:r>
      <w:r>
        <w:rPr>
          <w:rFonts w:ascii="Times New Roman" w:hAnsi="Times New Roman" w:cs="Times New Roman"/>
          <w:vertAlign w:val="superscript"/>
          <w:lang w:val="tr-TR"/>
        </w:rPr>
        <w:t xml:space="preserve">a−</w:t>
      </w:r>
      <w:r>
        <w:rPr>
          <w:rFonts w:ascii="Times New Roman" w:hAnsi="Times New Roman" w:cs="Times New Roman"/>
          <w:lang w:val="tr-TR"/>
        </w:rPr>
        <w:t xml:space="preserve">]</w:t>
      </w:r>
      <w:r>
        <w:rPr>
          <w:rFonts w:ascii="Times New Roman" w:hAnsi="Times New Roman" w:cs="Times New Roman"/>
          <w:vertAlign w:val="superscript"/>
          <w:lang w:val="tr-TR"/>
        </w:rPr>
        <w:t xml:space="preserve">b</w:t>
      </w:r>
    </w:p>
    <w:p>
      <w:pPr>
        <w:jc w:val="both"/>
        <w:rPr>
          <w:rFonts w:ascii="Times New Roman" w:hAnsi="Times New Roman" w:cs="Times New Roman"/>
          <w:lang w:val="tr-TR"/>
        </w:rPr>
      </w:pPr>
      <w:r>
        <w:rPr>
          <w:rFonts w:ascii="Times New Roman" w:hAnsi="Times New Roman" w:cs="Times New Roman"/>
          <w:lang w:val="tr-TR"/>
        </w:rPr>
        <w:t xml:space="preserve">Bu ifadedeki derişimler doymuş çözeltideki denge derişimleridir.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bir denge sabiti olduğundan daha önce incelediğiniz diğer denge sabitleri gibi yalnızca sıcaklığa bağlıdır; aynı sıcaklıkta bir tuzun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çözeltideki iyon derişimleri nasıl değişirse değişsin sabittir.</w:t>
      </w:r>
    </w:p>
    <w:p>
      <w:pPr>
        <w:jc w:val="both"/>
        <w:rPr>
          <w:rFonts w:ascii="Times New Roman" w:hAnsi="Times New Roman" w:cs="Times New Roman"/>
          <w:lang w:val="tr-TR"/>
        </w:rPr>
      </w:pPr>
      <w:r>
        <w:rPr>
          <w:rFonts w:ascii="Times New Roman" w:hAnsi="Times New Roman" w:cs="Times New Roman"/>
          <w:lang w:val="tr-TR"/>
        </w:rPr>
        <w:t xml:space="preserve">Çözünürlük çarpımı ifadesi yalnızca suda iyonlarına ayrışarak çözünen ve suda az çözünen iyonik katılar için yazılır. Şeker (C</w:t>
      </w:r>
      <w:r>
        <w:rPr>
          <w:rFonts w:ascii="Times New Roman" w:hAnsi="Times New Roman" w:cs="Times New Roman"/>
          <w:vertAlign w:val="subscript"/>
          <w:lang w:val="tr-TR"/>
        </w:rPr>
        <w:t xml:space="preserve">12</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O</w:t>
      </w:r>
      <w:r>
        <w:rPr>
          <w:rFonts w:ascii="Times New Roman" w:hAnsi="Times New Roman" w:cs="Times New Roman"/>
          <w:vertAlign w:val="subscript"/>
          <w:lang w:val="tr-TR"/>
        </w:rPr>
        <w:t xml:space="preserve">11</w:t>
      </w:r>
      <w:r>
        <w:rPr>
          <w:rFonts w:ascii="Times New Roman" w:hAnsi="Times New Roman" w:cs="Times New Roman"/>
          <w:lang w:val="tr-TR"/>
        </w:rPr>
        <w:t xml:space="preserve">) ya da glikoz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 gibi suda moleküller hâlinde çözünen maddeler iyon oluşturmadığından bu maddeler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ifadesi yazılmaz. Suda çok çözünen tuzların (NaCl, KNO</w:t>
      </w:r>
      <w:r>
        <w:rPr>
          <w:rFonts w:ascii="Times New Roman" w:hAnsi="Times New Roman" w:cs="Times New Roman"/>
          <w:vertAlign w:val="subscript"/>
          <w:lang w:val="tr-TR"/>
        </w:rPr>
        <w:t xml:space="preserve">3</w:t>
      </w:r>
      <w:r>
        <w:rPr>
          <w:rFonts w:ascii="Times New Roman" w:hAnsi="Times New Roman" w:cs="Times New Roman"/>
          <w:lang w:val="tr-TR"/>
        </w:rPr>
        <w:t xml:space="preserve"> vb.) çözünürlüğü ise genellikle 100 g suda çözünen kütle ile ifade edilir.</w:t>
      </w:r>
    </w:p>
    <w:p>
      <w:pPr>
        <w:jc w:val="both"/>
        <w:rPr>
          <w:rFonts w:ascii="Times New Roman" w:hAnsi="Times New Roman" w:cs="Times New Roman"/>
          <w:lang w:val="tr-TR"/>
        </w:rPr>
      </w:pPr>
      <w:r>
        <w:rPr>
          <w:rFonts w:ascii="Times New Roman" w:hAnsi="Times New Roman" w:cs="Times New Roman"/>
          <w:lang w:val="tr-TR"/>
        </w:rPr>
        <w:t xml:space="preserve">Molar çözünürlük ile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arasındaki ilişki, çözünme denklemindeki katsayılar kullanılarak her tuz için kurulabilir. 1 litre doymuş çözeltide s mol tuz çözündüğünde iyon derişimleri tuzun formülündeki katsayılara göre belirlenir. Örneğin baryum karbonat (BaCO</w:t>
      </w:r>
      <w:r>
        <w:rPr>
          <w:rFonts w:ascii="Times New Roman" w:hAnsi="Times New Roman" w:cs="Times New Roman"/>
          <w:lang w:val="tr-TR"/>
          <w:vertAlign w:val="subscript"/>
        </w:rPr>
        <w:t xml:space="preserve">3</w:t>
      </w:r>
      <w:r>
        <w:rPr>
          <w:rFonts w:ascii="Times New Roman" w:hAnsi="Times New Roman" w:cs="Times New Roman"/>
          <w:lang w:val="tr-TR"/>
        </w:rPr>
        <w:t xml:space="preserve">) için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 s olduğundan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s</w:t>
      </w:r>
      <w:r>
        <w:rPr>
          <w:rFonts w:ascii="Times New Roman" w:hAnsi="Times New Roman" w:cs="Times New Roman"/>
          <w:lang w:val="tr-TR"/>
          <w:vertAlign w:val="superscript"/>
        </w:rPr>
        <w:t xml:space="preserve">2</w:t>
      </w:r>
      <w:r>
        <w:rPr>
          <w:rFonts w:ascii="Times New Roman" w:hAnsi="Times New Roman" w:cs="Times New Roman"/>
          <w:lang w:val="tr-TR"/>
        </w:rPr>
        <w:t xml:space="preserve">; CaF</w:t>
      </w:r>
      <w:r>
        <w:rPr>
          <w:rFonts w:ascii="Times New Roman" w:hAnsi="Times New Roman" w:cs="Times New Roman"/>
          <w:lang w:val="tr-TR"/>
          <w:vertAlign w:val="subscript"/>
        </w:rPr>
        <w:t xml:space="preserve">2</w:t>
      </w:r>
      <w:r>
        <w:rPr>
          <w:rFonts w:ascii="Times New Roman" w:hAnsi="Times New Roman" w:cs="Times New Roman"/>
          <w:lang w:val="tr-TR"/>
        </w:rPr>
        <w:t xml:space="preserve"> için [Ca</w:t>
      </w:r>
      <w:r>
        <w:rPr>
          <w:rFonts w:ascii="Times New Roman" w:hAnsi="Times New Roman" w:cs="Times New Roman"/>
          <w:lang w:val="tr-TR"/>
          <w:vertAlign w:val="superscript"/>
        </w:rPr>
        <w:t xml:space="preserve">2+</w:t>
      </w:r>
      <w:r>
        <w:rPr>
          <w:rFonts w:ascii="Times New Roman" w:hAnsi="Times New Roman" w:cs="Times New Roman"/>
          <w:lang w:val="tr-TR"/>
        </w:rPr>
        <w:t xml:space="preserve">] = s ve [F</w:t>
      </w:r>
      <w:r>
        <w:rPr>
          <w:rFonts w:ascii="Times New Roman" w:hAnsi="Times New Roman" w:cs="Times New Roman"/>
          <w:lang w:val="tr-TR"/>
          <w:vertAlign w:val="superscript"/>
        </w:rPr>
        <w:t xml:space="preserve">−</w:t>
      </w:r>
      <w:r>
        <w:rPr>
          <w:rFonts w:ascii="Times New Roman" w:hAnsi="Times New Roman" w:cs="Times New Roman"/>
          <w:lang w:val="tr-TR"/>
        </w:rPr>
        <w:t xml:space="preserve">] = 2s olduğundan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s·(2s)</w:t>
      </w:r>
      <w:r>
        <w:rPr>
          <w:rFonts w:ascii="Times New Roman" w:hAnsi="Times New Roman" w:cs="Times New Roman"/>
          <w:lang w:val="tr-TR"/>
          <w:vertAlign w:val="superscript"/>
        </w:rPr>
        <w:t xml:space="preserve">2</w:t>
      </w:r>
      <w:r>
        <w:rPr>
          <w:rFonts w:ascii="Times New Roman" w:hAnsi="Times New Roman" w:cs="Times New Roman"/>
          <w:lang w:val="tr-TR"/>
        </w:rPr>
        <w:t xml:space="preserve"> =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olur. Tablo A’da farklı türdeki tuzlar için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ile s arasındaki ilişki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Tuz türüne göre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ile molar çözünürlük (s)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2900"/>
        <w:gridCol w:w="2200"/>
        <w:gridCol w:w="2000"/>
      </w:tblGrid>
      <w:tr>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Tuz türü</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Örnek</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İyon derişimleri</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çç</w:t>
            </w:r>
            <w:r>
              <w:rPr>
                <w:rFonts w:ascii="Times New Roman" w:hAnsi="Times New Roman" w:cs="Times New Roman"/>
                <w:b/>
                <w:bCs/>
                <w:lang w:val="tr-TR"/>
              </w:rPr>
              <w:t xml:space="preserve"> – s ilişkisi</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XY</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AgCl,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CaCO</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 = s, [Y] = 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XY</w:t>
            </w:r>
            <w:r>
              <w:rPr>
                <w:rFonts w:ascii="Times New Roman" w:hAnsi="Times New Roman" w:cs="Times New Roman"/>
                <w:vertAlign w:val="subscript"/>
                <w:lang w:val="tr-TR"/>
              </w:rPr>
              <w:t xml:space="preserve">2</w:t>
            </w:r>
            <w:r>
              <w:rPr>
                <w:rFonts w:ascii="Times New Roman" w:hAnsi="Times New Roman" w:cs="Times New Roman"/>
                <w:lang w:val="tr-TR"/>
              </w:rPr>
              <w:t xml:space="preserve"> ya da X</w:t>
            </w:r>
            <w:r>
              <w:rPr>
                <w:rFonts w:ascii="Times New Roman" w:hAnsi="Times New Roman" w:cs="Times New Roman"/>
                <w:vertAlign w:val="subscript"/>
                <w:lang w:val="tr-TR"/>
              </w:rPr>
              <w:t xml:space="preserve">2</w:t>
            </w:r>
            <w:r>
              <w:rPr>
                <w:rFonts w:ascii="Times New Roman" w:hAnsi="Times New Roman" w:cs="Times New Roman"/>
                <w:lang w:val="tr-TR"/>
              </w:rPr>
              <w:t xml:space="preserve">Y</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vertAlign w:val="subscript"/>
                <w:lang w:val="tr-TR"/>
              </w:rPr>
              <w:t xml:space="preserve">2</w:t>
            </w:r>
            <w:r>
              <w:rPr>
                <w:rFonts w:ascii="Times New Roman" w:hAnsi="Times New Roman" w:cs="Times New Roman"/>
                <w:lang w:val="tr-TR"/>
              </w:rPr>
              <w:t xml:space="preserve">,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Bir iyon s, diğer iyon 2s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4s</w:t>
            </w:r>
            <w:r>
              <w:rPr>
                <w:rFonts w:ascii="Times New Roman" w:hAnsi="Times New Roman" w:cs="Times New Roman"/>
                <w:vertAlign w:val="superscript"/>
                <w:lang w:val="tr-TR"/>
              </w:rPr>
              <w:t xml:space="preserve">3</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XY</w:t>
            </w:r>
            <w:r>
              <w:rPr>
                <w:rFonts w:ascii="Times New Roman" w:hAnsi="Times New Roman" w:cs="Times New Roman"/>
                <w:vertAlign w:val="subscript"/>
                <w:lang w:val="tr-TR"/>
              </w:rPr>
              <w:t xml:space="preserve">3</w:t>
            </w:r>
            <w:r>
              <w:rPr>
                <w:rFonts w:ascii="Times New Roman" w:hAnsi="Times New Roman" w:cs="Times New Roman"/>
                <w:lang w:val="tr-TR"/>
              </w:rPr>
              <w:t xml:space="preserve"> ya da X</w:t>
            </w:r>
            <w:r>
              <w:rPr>
                <w:rFonts w:ascii="Times New Roman" w:hAnsi="Times New Roman" w:cs="Times New Roman"/>
                <w:vertAlign w:val="subscript"/>
                <w:lang w:val="tr-TR"/>
              </w:rPr>
              <w:t xml:space="preserve">3</w:t>
            </w:r>
            <w:r>
              <w:rPr>
                <w:rFonts w:ascii="Times New Roman" w:hAnsi="Times New Roman" w:cs="Times New Roman"/>
                <w:lang w:val="tr-TR"/>
              </w:rPr>
              <w:t xml:space="preserve">Y</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Fe(OH)</w:t>
            </w:r>
            <w:r>
              <w:rPr>
                <w:rFonts w:ascii="Times New Roman" w:hAnsi="Times New Roman" w:cs="Times New Roman"/>
                <w:vertAlign w:val="subscript"/>
                <w:lang w:val="tr-TR"/>
              </w:rPr>
              <w:t xml:space="preserve">3</w:t>
            </w:r>
            <w:r>
              <w:rPr>
                <w:rFonts w:ascii="Times New Roman" w:hAnsi="Times New Roman" w:cs="Times New Roman"/>
                <w:lang w:val="tr-TR"/>
              </w:rPr>
              <w:t xml:space="preserve">, Ag</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Bir iyon s, diğer iyon 3s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27s</w:t>
            </w:r>
            <w:r>
              <w:rPr>
                <w:rFonts w:ascii="Times New Roman" w:hAnsi="Times New Roman" w:cs="Times New Roman"/>
                <w:vertAlign w:val="superscript"/>
                <w:lang w:val="tr-TR"/>
              </w:rPr>
              <w:t xml:space="preserve">4</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r>
              <w:rPr>
                <w:rFonts w:ascii="Times New Roman" w:hAnsi="Times New Roman" w:cs="Times New Roman"/>
                <w:vertAlign w:val="subscript"/>
                <w:lang w:val="tr-TR"/>
              </w:rPr>
              <w:t xml:space="preserve">3</w:t>
            </w:r>
            <w:r>
              <w:rPr>
                <w:rFonts w:ascii="Times New Roman" w:hAnsi="Times New Roman" w:cs="Times New Roman"/>
                <w:lang w:val="tr-TR"/>
              </w:rPr>
              <w:t xml:space="preserve">Y</w:t>
            </w:r>
            <w:r>
              <w:rPr>
                <w:rFonts w:ascii="Times New Roman" w:hAnsi="Times New Roman" w:cs="Times New Roman"/>
                <w:vertAlign w:val="subscript"/>
                <w:lang w:val="tr-TR"/>
              </w:rPr>
              <w:t xml:space="preserve">2</w:t>
            </w:r>
            <w:r>
              <w:rPr>
                <w:rFonts w:ascii="Times New Roman" w:hAnsi="Times New Roman" w:cs="Times New Roman"/>
                <w:lang w:val="tr-TR"/>
              </w:rPr>
              <w:t xml:space="preserve"> ya da X</w:t>
            </w:r>
            <w:r>
              <w:rPr>
                <w:rFonts w:ascii="Times New Roman" w:hAnsi="Times New Roman" w:cs="Times New Roman"/>
                <w:vertAlign w:val="subscript"/>
                <w:lang w:val="tr-TR"/>
              </w:rPr>
              <w:t xml:space="preserve">2</w:t>
            </w:r>
            <w:r>
              <w:rPr>
                <w:rFonts w:ascii="Times New Roman" w:hAnsi="Times New Roman" w:cs="Times New Roman"/>
                <w:lang w:val="tr-TR"/>
              </w:rPr>
              <w:t xml:space="preserve">Y</w:t>
            </w:r>
            <w:r>
              <w:rPr>
                <w:rFonts w:ascii="Times New Roman" w:hAnsi="Times New Roman" w:cs="Times New Roman"/>
                <w:vertAlign w:val="subscript"/>
                <w:lang w:val="tr-TR"/>
              </w:rPr>
              <w:t xml:space="preserve">3</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Ca</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Bi</w:t>
            </w:r>
            <w:r>
              <w:rPr>
                <w:rFonts w:ascii="Times New Roman" w:hAnsi="Times New Roman" w:cs="Times New Roman"/>
                <w:vertAlign w:val="subscript"/>
                <w:lang w:val="tr-TR"/>
              </w:rPr>
              <w:t xml:space="preserve">2</w:t>
            </w:r>
            <w:r>
              <w:rPr>
                <w:rFonts w:ascii="Times New Roman" w:hAnsi="Times New Roman" w:cs="Times New Roman"/>
                <w:lang w:val="tr-TR"/>
              </w:rPr>
              <w:t xml:space="preserve">S</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Bir iyon 3s, diğer iyon 2s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108s</w:t>
            </w:r>
            <w:r>
              <w:rPr>
                <w:rFonts w:ascii="Times New Roman" w:hAnsi="Times New Roman" w:cs="Times New Roman"/>
                <w:vertAlign w:val="superscript"/>
                <w:lang w:val="tr-TR"/>
              </w:rPr>
              <w:t xml:space="preserve">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Aynı türdeki (formülündeki iyon sayıları aynı olan) tuzlar karşılaştırılırken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büyük olan tuzun molar çözünürlüğü de büyüktür. Örneğin AgBr’nin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(5,0·10</w:t>
      </w:r>
      <w:r>
        <w:rPr>
          <w:rFonts w:ascii="Times New Roman" w:hAnsi="Times New Roman" w:cs="Times New Roman"/>
          <w:lang w:val="tr-TR"/>
          <w:vertAlign w:val="superscript"/>
        </w:rPr>
        <w:t xml:space="preserve">-13</w:t>
      </w:r>
      <w:r>
        <w:rPr>
          <w:rFonts w:ascii="Times New Roman" w:hAnsi="Times New Roman" w:cs="Times New Roman"/>
          <w:lang w:val="tr-TR"/>
        </w:rPr>
        <w:t xml:space="preserve">) gümüş iyodürünkinden (AgI, 8,5·10</w:t>
      </w:r>
      <w:r>
        <w:rPr>
          <w:rFonts w:ascii="Times New Roman" w:hAnsi="Times New Roman" w:cs="Times New Roman"/>
          <w:lang w:val="tr-TR"/>
          <w:vertAlign w:val="superscript"/>
        </w:rPr>
        <w:t xml:space="preserve">-17</w:t>
      </w:r>
      <w:r>
        <w:rPr>
          <w:rFonts w:ascii="Times New Roman" w:hAnsi="Times New Roman" w:cs="Times New Roman"/>
          <w:lang w:val="tr-TR"/>
        </w:rPr>
        <w:t xml:space="preserve">) büyük olduğundan AgBr suda gümüş iyodürden daha fazla çözünür. Farklı türdeki tuzların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ise doğrudan karşılaştırılamaz; bu tuzların çözünürlükleri, molar çözünürlükleri hesaplanarak karşılaştırılmalıdır. Örneğin CaF</w:t>
      </w:r>
      <w:r>
        <w:rPr>
          <w:rFonts w:ascii="Times New Roman" w:hAnsi="Times New Roman" w:cs="Times New Roman"/>
          <w:lang w:val="tr-TR"/>
          <w:vertAlign w:val="subscript"/>
        </w:rPr>
        <w:t xml:space="preserve">2</w:t>
      </w:r>
      <w:r>
        <w:rPr>
          <w:rFonts w:ascii="Times New Roman" w:hAnsi="Times New Roman" w:cs="Times New Roman"/>
          <w:lang w:val="tr-TR"/>
        </w:rPr>
        <w:t xml:space="preserve">’nin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(3,9·10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BaCO</w:t>
      </w:r>
      <w:r>
        <w:rPr>
          <w:rFonts w:ascii="Times New Roman" w:hAnsi="Times New Roman" w:cs="Times New Roman"/>
          <w:lang w:val="tr-TR"/>
          <w:vertAlign w:val="subscript"/>
        </w:rPr>
        <w:t xml:space="preserve">3</w:t>
      </w:r>
      <w:r>
        <w:rPr>
          <w:rFonts w:ascii="Times New Roman" w:hAnsi="Times New Roman" w:cs="Times New Roman"/>
          <w:lang w:val="tr-TR"/>
        </w:rPr>
        <w:t xml:space="preserve">’ınkinden (5,1·10</w:t>
      </w:r>
      <w:r>
        <w:rPr>
          <w:rFonts w:ascii="Times New Roman" w:hAnsi="Times New Roman" w:cs="Times New Roman"/>
          <w:lang w:val="tr-TR"/>
          <w:vertAlign w:val="superscript"/>
        </w:rPr>
        <w:t xml:space="preserve">-9</w:t>
      </w:r>
      <w:r>
        <w:rPr>
          <w:rFonts w:ascii="Times New Roman" w:hAnsi="Times New Roman" w:cs="Times New Roman"/>
          <w:lang w:val="tr-TR"/>
        </w:rPr>
        <w:t xml:space="preserve">) küçük olduğu hâlde CaF</w:t>
      </w:r>
      <w:r>
        <w:rPr>
          <w:rFonts w:ascii="Times New Roman" w:hAnsi="Times New Roman" w:cs="Times New Roman"/>
          <w:lang w:val="tr-TR"/>
          <w:vertAlign w:val="subscript"/>
        </w:rPr>
        <w:t xml:space="preserve">2</w:t>
      </w:r>
      <w:r>
        <w:rPr>
          <w:rFonts w:ascii="Times New Roman" w:hAnsi="Times New Roman" w:cs="Times New Roman"/>
          <w:lang w:val="tr-TR"/>
        </w:rPr>
        <w:t xml:space="preserve">’nin molar çözünürlüğü (2,1·10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mol/L) BaCO</w:t>
      </w:r>
      <w:r>
        <w:rPr>
          <w:rFonts w:ascii="Times New Roman" w:hAnsi="Times New Roman" w:cs="Times New Roman"/>
          <w:lang w:val="tr-TR"/>
          <w:vertAlign w:val="subscript"/>
        </w:rPr>
        <w:t xml:space="preserve">3</w:t>
      </w:r>
      <w:r>
        <w:rPr>
          <w:rFonts w:ascii="Times New Roman" w:hAnsi="Times New Roman" w:cs="Times New Roman"/>
          <w:lang w:val="tr-TR"/>
        </w:rPr>
        <w:t xml:space="preserve">’ınkinden (7,1·10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 büyüktür (Grafik A).</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38354" cy="2350012"/>
            <wp:docPr id="900004" name="Grafik 900004" descr="Kçç ve molar çözünürlük karşılaştırması"/>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5038354" cy="235001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A: Suda az çözünen bazı tuzların 25 °C’deki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ve molar çözünürlükleri (logaritmik ölçek)</w: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2.3.</w:t>
      </w:r>
    </w:p>
    <w:p>
      <w:pPr>
        <w:jc w:val="both"/>
        <w:rPr>
          <w:rFonts w:ascii="Times New Roman" w:hAnsi="Times New Roman" w:cs="Times New Roman"/>
          <w:lang w:val="tr-TR"/>
        </w:rPr>
      </w:pPr>
      <w:r>
        <w:rPr>
          <w:rFonts w:ascii="Times New Roman" w:hAnsi="Times New Roman" w:cs="Times New Roman"/>
          <w:lang w:val="tr-TR"/>
        </w:rPr>
        <w:t xml:space="preserve">Diş minesini oluşturan hidroksiapatit ağızda aşağıdaki dengeye göre çok az çözünür:</w:t>
      </w:r>
    </w:p>
    <w:p>
      <w:pPr>
        <w:jc w:val="center"/>
        <w:rPr>
          <w:rFonts w:ascii="Times New Roman" w:hAnsi="Times New Roman" w:cs="Times New Roman"/>
          <w:lang w:val="tr-TR"/>
        </w:rPr>
      </w:pPr>
      <w:r>
        <w:rPr>
          <w:rFonts w:ascii="Times New Roman" w:hAnsi="Times New Roman" w:cs="Times New Roman"/>
          <w:lang w:val="tr-TR"/>
        </w:rPr>
        <w:t xml:space="preserve">Ca</w:t>
      </w:r>
      <w:r>
        <w:rPr>
          <w:rFonts w:ascii="Times New Roman" w:hAnsi="Times New Roman" w:cs="Times New Roman"/>
          <w:vertAlign w:val="subscript"/>
          <w:lang w:val="tr-TR"/>
        </w:rPr>
        <w:t xml:space="preserve">5</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OH(k) ⇌ 5Ca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+ 3PO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Şekerli yiyecekler tüketildiğinde ağızdaki bakteriler şekerleri asitlere dönüştürür. Asitlerden gelen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OH</w:t>
      </w:r>
      <w:r>
        <w:rPr>
          <w:rFonts w:ascii="Times New Roman" w:hAnsi="Times New Roman" w:cs="Times New Roman"/>
          <w:vertAlign w:val="superscript"/>
          <w:lang w:val="tr-TR"/>
        </w:rPr>
        <w:t xml:space="preserve">−</w:t>
      </w:r>
      <w:r>
        <w:rPr>
          <w:rFonts w:ascii="Times New Roman" w:hAnsi="Times New Roman" w:cs="Times New Roman"/>
          <w:lang w:val="tr-TR"/>
        </w:rPr>
        <w:t xml:space="preserve"> ve 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iyonlarıyla tepkimeye girerek bu iyonların derişimini azaltır. Bunun sonucunda denge çözünme yönüne kayar ve mine tabakası aşınır. Diş macunlarındaki florür (F</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hidroksiapatitteki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yerini alarak asitlere karşı daha dayanıklı ve daha az çözünen florapatit [Ca</w:t>
      </w:r>
      <w:r>
        <w:rPr>
          <w:rFonts w:ascii="Times New Roman" w:hAnsi="Times New Roman" w:cs="Times New Roman"/>
          <w:vertAlign w:val="subscript"/>
          <w:lang w:val="tr-TR"/>
        </w:rPr>
        <w:t xml:space="preserve">5</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F] oluşturur. Çocukların süt dişlerinin mine tabakası daha ince olduğu ve çocuklar genellikle daha sık şekerli besin tükettiği için çocuklarda diş çürükleri daha sık görülür.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2.23.</w:t>
      </w:r>
    </w:p>
    <w:p>
      <w:pPr>
        <w:jc w:val="both"/>
        <w:rPr>
          <w:rFonts w:ascii="Times New Roman" w:hAnsi="Times New Roman" w:cs="Times New Roman"/>
          <w:lang w:val="tr-TR"/>
        </w:rPr>
      </w:pPr>
      <w:r>
        <w:rPr>
          <w:rFonts w:ascii="Times New Roman" w:hAnsi="Times New Roman" w:cs="Times New Roman"/>
          <w:lang w:val="tr-TR"/>
        </w:rPr>
        <w:t xml:space="preserve">25 °C’de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tuzunun çözünürlük çarpımı 1,1·10</w:t>
      </w:r>
      <w:r>
        <w:rPr>
          <w:rFonts w:ascii="Times New Roman" w:hAnsi="Times New Roman" w:cs="Times New Roman"/>
          <w:vertAlign w:val="superscript"/>
          <w:lang w:val="tr-TR"/>
        </w:rPr>
        <w:t xml:space="preserve">-10</w:t>
      </w:r>
      <w:r>
        <w:rPr>
          <w:rFonts w:ascii="Times New Roman" w:hAnsi="Times New Roman" w:cs="Times New Roman"/>
          <w:lang w:val="tr-TR"/>
        </w:rPr>
        <w:t xml:space="preserve">’dur. Buna göre BaSO</w:t>
      </w:r>
      <w:r>
        <w:rPr>
          <w:rFonts w:ascii="Times New Roman" w:hAnsi="Times New Roman" w:cs="Times New Roman"/>
          <w:vertAlign w:val="subscript"/>
          <w:lang w:val="tr-TR"/>
        </w:rPr>
        <w:t xml:space="preserve">4</w:t>
      </w:r>
      <w:r>
        <w:rPr>
          <w:rFonts w:ascii="Times New Roman" w:hAnsi="Times New Roman" w:cs="Times New Roman"/>
          <w:lang w:val="tr-TR"/>
        </w:rPr>
        <w:t xml:space="preserve">’ın 25 °C’deki molar çözünürlüğünü ve 1 litre suda çözünebilen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kütlesini hesaplayınız.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233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BaSO</w:t>
      </w:r>
      <w:r>
        <w:rPr>
          <w:rFonts w:ascii="Times New Roman" w:hAnsi="Times New Roman" w:cs="Times New Roman"/>
          <w:vertAlign w:val="subscript"/>
          <w:lang w:val="tr-TR"/>
        </w:rPr>
        <w:t xml:space="preserve">4</w:t>
      </w:r>
      <w:r>
        <w:rPr>
          <w:rFonts w:ascii="Times New Roman" w:hAnsi="Times New Roman" w:cs="Times New Roman"/>
          <w:lang w:val="tr-TR"/>
        </w:rPr>
        <w:t xml:space="preserve">(k) ⇌ Ba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Molar çözünürlük s ise [Ba</w:t>
      </w:r>
      <w:r>
        <w:rPr>
          <w:rFonts w:ascii="Times New Roman" w:hAnsi="Times New Roman" w:cs="Times New Roman"/>
          <w:vertAlign w:val="superscript"/>
          <w:lang w:val="tr-TR"/>
        </w:rPr>
        <w:t xml:space="preserve">2+</w:t>
      </w:r>
      <w:r>
        <w:rPr>
          <w:rFonts w:ascii="Times New Roman" w:hAnsi="Times New Roman" w:cs="Times New Roman"/>
          <w:lang w:val="tr-TR"/>
        </w:rPr>
        <w:t xml:space="preserve">] = s ve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 s olur.</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[Ba</w:t>
      </w:r>
      <w:r>
        <w:rPr>
          <w:rFonts w:ascii="Times New Roman" w:hAnsi="Times New Roman" w:cs="Times New Roman"/>
          <w:vertAlign w:val="super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   s ≈ 1,0·10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1 litrede çözünen kütle = 1,0·10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 · 233 g/mol ≈ 2,4·10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g</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2.24.</w:t>
      </w:r>
    </w:p>
    <w:p>
      <w:pPr>
        <w:jc w:val="both"/>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vertAlign w:val="subscript"/>
          <w:lang w:val="tr-TR"/>
        </w:rPr>
        <w:t xml:space="preserve">2</w:t>
      </w:r>
      <w:r>
        <w:rPr>
          <w:rFonts w:ascii="Times New Roman" w:hAnsi="Times New Roman" w:cs="Times New Roman"/>
          <w:lang w:val="tr-TR"/>
        </w:rPr>
        <w:t xml:space="preserve"> tuzunun 25 °C’deki çözünürlük çarpımı 7,1·10</w:t>
      </w:r>
      <w:r>
        <w:rPr>
          <w:rFonts w:ascii="Times New Roman" w:hAnsi="Times New Roman" w:cs="Times New Roman"/>
          <w:vertAlign w:val="superscript"/>
          <w:lang w:val="tr-TR"/>
        </w:rPr>
        <w:t xml:space="preserve">-9</w:t>
      </w:r>
      <w:r>
        <w:rPr>
          <w:rFonts w:ascii="Times New Roman" w:hAnsi="Times New Roman" w:cs="Times New Roman"/>
          <w:lang w:val="tr-TR"/>
        </w:rPr>
        <w:t xml:space="preserve">’dur. Buna göre PbI</w:t>
      </w:r>
      <w:r>
        <w:rPr>
          <w:rFonts w:ascii="Times New Roman" w:hAnsi="Times New Roman" w:cs="Times New Roman"/>
          <w:vertAlign w:val="subscript"/>
          <w:lang w:val="tr-TR"/>
        </w:rPr>
        <w:t xml:space="preserve">2</w:t>
      </w:r>
      <w:r>
        <w:rPr>
          <w:rFonts w:ascii="Times New Roman" w:hAnsi="Times New Roman" w:cs="Times New Roman"/>
          <w:lang w:val="tr-TR"/>
        </w:rPr>
        <w:t xml:space="preserve">’nin molar çözünürlüğünü ve doymuş çözeltideki 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derişimini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vertAlign w:val="subscript"/>
          <w:lang w:val="tr-TR"/>
        </w:rPr>
        <w:t xml:space="preserve">2</w:t>
      </w:r>
      <w:r>
        <w:rPr>
          <w:rFonts w:ascii="Times New Roman" w:hAnsi="Times New Roman" w:cs="Times New Roman"/>
          <w:lang w:val="tr-TR"/>
        </w:rPr>
        <w:t xml:space="preserv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+ 2I</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s ve [I</w:t>
      </w:r>
      <w:r>
        <w:rPr>
          <w:rFonts w:ascii="Times New Roman" w:hAnsi="Times New Roman" w:cs="Times New Roman"/>
          <w:vertAlign w:val="superscript"/>
          <w:lang w:val="tr-TR"/>
        </w:rPr>
        <w:t xml:space="preserve">−</w:t>
      </w:r>
      <w:r>
        <w:rPr>
          <w:rFonts w:ascii="Times New Roman" w:hAnsi="Times New Roman" w:cs="Times New Roman"/>
          <w:lang w:val="tr-TR"/>
        </w:rPr>
        <w:t xml:space="preserve">] = 2s olur.</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][I</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s·(2s)</w:t>
      </w:r>
      <w:r>
        <w:rPr>
          <w:rFonts w:ascii="Times New Roman" w:hAnsi="Times New Roman" w:cs="Times New Roman"/>
          <w:vertAlign w:val="superscript"/>
          <w:lang w:val="tr-TR"/>
        </w:rPr>
        <w:t xml:space="preserve">2</w:t>
      </w:r>
      <w:r>
        <w:rPr>
          <w:rFonts w:ascii="Times New Roman" w:hAnsi="Times New Roman" w:cs="Times New Roman"/>
          <w:lang w:val="tr-TR"/>
        </w:rPr>
        <w:t xml:space="preserve"> =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7,1·10</w:t>
      </w:r>
      <w:r>
        <w:rPr>
          <w:rFonts w:ascii="Times New Roman" w:hAnsi="Times New Roman" w:cs="Times New Roman"/>
          <w:vertAlign w:val="superscript"/>
          <w:lang w:val="tr-TR"/>
        </w:rPr>
        <w:t xml:space="preserve">-9</w:t>
      </w:r>
      <w:r>
        <w:rPr>
          <w:rFonts w:ascii="Times New Roman" w:hAnsi="Times New Roman" w:cs="Times New Roman"/>
          <w:lang w:val="tr-TR"/>
        </w:rPr>
        <w:t xml:space="preserve">   →   s</w:t>
      </w:r>
      <w:r>
        <w:rPr>
          <w:rFonts w:ascii="Times New Roman" w:hAnsi="Times New Roman" w:cs="Times New Roman"/>
          <w:vertAlign w:val="superscript"/>
          <w:lang w:val="tr-TR"/>
        </w:rPr>
        <w:t xml:space="preserve">3</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-9</w:t>
      </w:r>
      <w:r>
        <w:rPr>
          <w:rFonts w:ascii="Times New Roman" w:hAnsi="Times New Roman" w:cs="Times New Roman"/>
          <w:lang w:val="tr-TR"/>
        </w:rPr>
        <w:t xml:space="preserve">   →   s ≈ 1,2·10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[I</w:t>
      </w:r>
      <w:r>
        <w:rPr>
          <w:rFonts w:ascii="Times New Roman" w:hAnsi="Times New Roman" w:cs="Times New Roman"/>
          <w:vertAlign w:val="superscript"/>
          <w:lang w:val="tr-TR"/>
        </w:rPr>
        <w:t xml:space="preserve">−</w:t>
      </w:r>
      <w:r>
        <w:rPr>
          <w:rFonts w:ascii="Times New Roman" w:hAnsi="Times New Roman" w:cs="Times New Roman"/>
          <w:lang w:val="tr-TR"/>
        </w:rPr>
        <w:t xml:space="preserve">] = 2s ≈ 2,4·10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2.25.</w:t>
      </w:r>
    </w:p>
    <w:p>
      <w:pPr>
        <w:jc w:val="both"/>
        <w:rPr>
          <w:rFonts w:ascii="Times New Roman" w:hAnsi="Times New Roman" w:cs="Times New Roman"/>
          <w:lang w:val="tr-TR"/>
        </w:rPr>
      </w:pPr>
      <w:r>
        <w:rPr>
          <w:rFonts w:ascii="Times New Roman" w:hAnsi="Times New Roman" w:cs="Times New Roman"/>
          <w:lang w:val="tr-TR"/>
        </w:rPr>
        <w:t xml:space="preserve">Belirli bir sıcaklıkta PbCl</w:t>
      </w:r>
      <w:r>
        <w:rPr>
          <w:rFonts w:ascii="Times New Roman" w:hAnsi="Times New Roman" w:cs="Times New Roman"/>
          <w:vertAlign w:val="subscript"/>
          <w:lang w:val="tr-TR"/>
        </w:rPr>
        <w:t xml:space="preserve">2</w:t>
      </w:r>
      <w:r>
        <w:rPr>
          <w:rFonts w:ascii="Times New Roman" w:hAnsi="Times New Roman" w:cs="Times New Roman"/>
          <w:lang w:val="tr-TR"/>
        </w:rPr>
        <w:t xml:space="preserve"> tuzunun molar çözünürlüğü 1,6·10</w:t>
      </w:r>
      <w:r>
        <w:rPr>
          <w:rFonts w:ascii="Times New Roman" w:hAnsi="Times New Roman" w:cs="Times New Roman"/>
          <w:vertAlign w:val="superscript"/>
          <w:lang w:val="tr-TR"/>
        </w:rPr>
        <w:t xml:space="preserve">-2</w:t>
      </w:r>
      <w:r>
        <w:rPr>
          <w:rFonts w:ascii="Times New Roman" w:hAnsi="Times New Roman" w:cs="Times New Roman"/>
          <w:lang w:val="tr-TR"/>
        </w:rPr>
        <w:t xml:space="preserve"> mol/L’dir. Buna göre bu sıcaklıkta PbCl</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çözünürlük çarpımını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PbCl</w:t>
      </w:r>
      <w:r>
        <w:rPr>
          <w:rFonts w:ascii="Times New Roman" w:hAnsi="Times New Roman" w:cs="Times New Roman"/>
          <w:vertAlign w:val="subscript"/>
          <w:lang w:val="tr-TR"/>
        </w:rPr>
        <w:t xml:space="preserve">2</w:t>
      </w:r>
      <w:r>
        <w:rPr>
          <w:rFonts w:ascii="Times New Roman" w:hAnsi="Times New Roman" w:cs="Times New Roman"/>
          <w:lang w:val="tr-TR"/>
        </w:rPr>
        <w:t xml:space="preserv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1,6·10</w:t>
      </w:r>
      <w:r>
        <w:rPr>
          <w:rFonts w:ascii="Times New Roman" w:hAnsi="Times New Roman" w:cs="Times New Roman"/>
          <w:vertAlign w:val="superscript"/>
          <w:lang w:val="tr-TR"/>
        </w:rPr>
        <w:t xml:space="preserve">-2</w:t>
      </w:r>
      <w:r>
        <w:rPr>
          <w:rFonts w:ascii="Times New Roman" w:hAnsi="Times New Roman" w:cs="Times New Roman"/>
          <w:lang w:val="tr-TR"/>
        </w:rPr>
        <w:t xml:space="preserve"> mol/L,  [Cl</w:t>
      </w:r>
      <w:r>
        <w:rPr>
          <w:rFonts w:ascii="Times New Roman" w:hAnsi="Times New Roman" w:cs="Times New Roman"/>
          <w:vertAlign w:val="superscript"/>
          <w:lang w:val="tr-TR"/>
        </w:rPr>
        <w:t xml:space="preserve">−</w:t>
      </w:r>
      <w:r>
        <w:rPr>
          <w:rFonts w:ascii="Times New Roman" w:hAnsi="Times New Roman" w:cs="Times New Roman"/>
          <w:lang w:val="tr-TR"/>
        </w:rPr>
        <w:t xml:space="preserve">] = 3,2·10</w:t>
      </w:r>
      <w:r>
        <w:rPr>
          <w:rFonts w:ascii="Times New Roman" w:hAnsi="Times New Roman" w:cs="Times New Roman"/>
          <w:vertAlign w:val="superscript"/>
          <w:lang w:val="tr-TR"/>
        </w:rPr>
        <w:t xml:space="preserve">-2</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(1,6·10</w:t>
      </w:r>
      <w:r>
        <w:rPr>
          <w:rFonts w:ascii="Times New Roman" w:hAnsi="Times New Roman" w:cs="Times New Roman"/>
          <w:vertAlign w:val="superscript"/>
          <w:lang w:val="tr-TR"/>
        </w:rPr>
        <w:t xml:space="preserve">-2</w:t>
      </w:r>
      <w:r>
        <w:rPr>
          <w:rFonts w:ascii="Times New Roman" w:hAnsi="Times New Roman" w:cs="Times New Roman"/>
          <w:lang w:val="tr-TR"/>
        </w:rPr>
        <w:t xml:space="preserve">)·(3,2·10</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1,6·10</w:t>
      </w:r>
      <w:r>
        <w:rPr>
          <w:rFonts w:ascii="Times New Roman" w:hAnsi="Times New Roman" w:cs="Times New Roman"/>
          <w:vertAlign w:val="superscript"/>
          <w:lang w:val="tr-TR"/>
        </w:rPr>
        <w:t xml:space="preserve">-5</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2.13.</w:t>
      </w:r>
    </w:p>
    <w:p>
      <w:pPr>
        <w:jc w:val="both"/>
        <w:rPr>
          <w:rFonts w:ascii="Times New Roman" w:hAnsi="Times New Roman" w:cs="Times New Roman"/>
          <w:lang w:val="tr-TR"/>
        </w:rPr>
      </w:pPr>
      <w:r>
        <w:rPr>
          <w:rFonts w:ascii="Times New Roman" w:hAnsi="Times New Roman" w:cs="Times New Roman"/>
          <w:lang w:val="tr-TR"/>
        </w:rPr>
        <w:t xml:space="preserve">Aşağıdaki problemleri çözünürlük çarpımı ile molar çözünürlük arasındaki ilişkiyi kullanarak çözünüz. Gerekli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için Analiz ve Keşif Atölyesi 2.13.’teki tabloyu kullanınız.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 tuzunun 25 °C’deki molar çözünürlüğünü hesaplayınız. Bu tuzdan 1 litre suda en fazla kaç miligram çözünebilir?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100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 tuzunun 25 °C’deki molar çözünürlüğünü ve doymuş çözeltideki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Belirli bir sıcaklıkta AgBr’nin doymuş çözeltisinde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7,0·10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 olarak ölçülmüştür. Bu sıcaklıkta AgBr’nin çözünürlük çarpımını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Belirli bir sıcaklıkta X</w:t>
      </w:r>
      <w:r>
        <w:rPr>
          <w:rFonts w:ascii="Times New Roman" w:hAnsi="Times New Roman" w:cs="Times New Roman"/>
          <w:vertAlign w:val="subscript"/>
          <w:lang w:val="tr-TR"/>
        </w:rPr>
        <w:t xml:space="preserve">2</w:t>
      </w:r>
      <w:r>
        <w:rPr>
          <w:rFonts w:ascii="Times New Roman" w:hAnsi="Times New Roman" w:cs="Times New Roman"/>
          <w:lang w:val="tr-TR"/>
        </w:rPr>
        <w:t xml:space="preserve">Y tuzunun molar çözünürlüğü 2,0·10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mol/L’dir. Bu tuzun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Belirli bir sıcaklıkta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4,9·10</w:t>
      </w:r>
      <w:r>
        <w:rPr>
          <w:rFonts w:ascii="Times New Roman" w:hAnsi="Times New Roman" w:cs="Times New Roman"/>
          <w:vertAlign w:val="superscript"/>
          <w:lang w:val="tr-TR"/>
        </w:rPr>
        <w:t xml:space="preserve">-9</w:t>
      </w:r>
      <w:r>
        <w:rPr>
          <w:rFonts w:ascii="Times New Roman" w:hAnsi="Times New Roman" w:cs="Times New Roman"/>
          <w:lang w:val="tr-TR"/>
        </w:rPr>
        <w:t xml:space="preserve"> olan XY tuzunun 0,35 gramını tamamen çözmek için en az kaç litre su gerekir? (XY: 100 g/mol; çözeltinin hacmi suyun hacmine eşit kabul edilecektir.)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AgCl, AgBr ve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tuzlarını 25 °C’deki molar çözünürlüklerine göre büyükten küçüğe sıralayınız. Sıralamanızı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değerlerini doğrudan karşılaştırarak yapabilir misiniz?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Suda az çözünen tuzların molar çözünürlükleri ve çözünürlük çarpımları ile ilgili çalışma yaprağına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Çalışma Yaprağı (Kim11.2.13)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Çalışma Yaprağı (Kim11.2.13)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(çözünürlük ve kompleks iyon dengeleri bölümü;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ek tablosu)</w:t>
      </w:r>
    </w:p>
    <w:p>
      <w:pPr>
        <w:jc w:val="both"/>
        <w:rPr>
          <w:rFonts w:ascii="Times New Roman" w:hAnsi="Times New Roman" w:cs="Times New Roman"/>
          <w:lang w:val="tr-TR"/>
        </w:rPr>
      </w:pPr>
      <w:r>
        <w:rPr>
          <w:rFonts w:ascii="Times New Roman" w:hAnsi="Times New Roman" w:cs="Times New Roman"/>
          <w:highlight w:val="yellow"/>
          <w:lang w:val="tr-TR"/>
        </w:rPr>
        <w:t xml:space="preserve">NOT: K</w:t>
      </w:r>
      <w:r>
        <w:rPr>
          <w:rFonts w:ascii="Times New Roman" w:hAnsi="Times New Roman" w:cs="Times New Roman"/>
          <w:lang w:val="tr-TR"/>
          <w:highlight w:val="yellow"/>
          <w:vertAlign w:val="subscript"/>
        </w:rPr>
        <w:t xml:space="preserve">çç</w:t>
      </w:r>
      <w:r>
        <w:rPr>
          <w:rFonts w:ascii="Times New Roman" w:hAnsi="Times New Roman" w:cs="Times New Roman"/>
          <w:highlight w:val="yellow"/>
          <w:lang w:val="tr-TR"/>
        </w:rPr>
        <w:t xml:space="preserve"> değerleri genel kimya ders kitaplarında (Petrucci vb.) 25 °C için verilen değerlerdir; yayın öncesi Petrucci ek tablosu ile karşılaştırılması önerilir. Bilgi metnindeki AgI (8,5·10</w:t>
      </w:r>
      <w:r>
        <w:rPr>
          <w:rFonts w:ascii="Times New Roman" w:hAnsi="Times New Roman" w:cs="Times New Roman"/>
          <w:lang w:val="tr-TR"/>
          <w:highlight w:val="yellow"/>
          <w:vertAlign w:val="superscript"/>
        </w:rPr>
        <w:t xml:space="preserve">-17</w:t>
      </w:r>
      <w:r>
        <w:rPr>
          <w:rFonts w:ascii="Times New Roman" w:hAnsi="Times New Roman" w:cs="Times New Roman"/>
          <w:highlight w:val="yellow"/>
          <w:lang w:val="tr-TR"/>
        </w:rPr>
        <w:t xml:space="preserve">), BaCO</w:t>
      </w:r>
      <w:r>
        <w:rPr>
          <w:rFonts w:ascii="Times New Roman" w:hAnsi="Times New Roman" w:cs="Times New Roman"/>
          <w:lang w:val="tr-TR"/>
          <w:highlight w:val="yellow"/>
          <w:vertAlign w:val="subscript"/>
        </w:rPr>
        <w:t xml:space="preserve">3</w:t>
      </w:r>
      <w:r>
        <w:rPr>
          <w:rFonts w:ascii="Times New Roman" w:hAnsi="Times New Roman" w:cs="Times New Roman"/>
          <w:highlight w:val="yellow"/>
          <w:lang w:val="tr-TR"/>
        </w:rPr>
        <w:t xml:space="preserve"> (5,1·10</w:t>
      </w:r>
      <w:r>
        <w:rPr>
          <w:rFonts w:ascii="Times New Roman" w:hAnsi="Times New Roman" w:cs="Times New Roman"/>
          <w:lang w:val="tr-TR"/>
          <w:highlight w:val="yellow"/>
          <w:vertAlign w:val="superscript"/>
        </w:rPr>
        <w:t xml:space="preserve">-9</w:t>
      </w:r>
      <w:r>
        <w:rPr>
          <w:rFonts w:ascii="Times New Roman" w:hAnsi="Times New Roman" w:cs="Times New Roman"/>
          <w:highlight w:val="yellow"/>
          <w:lang w:val="tr-TR"/>
        </w:rPr>
        <w:t xml:space="preserve">) ve CaF</w:t>
      </w:r>
      <w:r>
        <w:rPr>
          <w:rFonts w:ascii="Times New Roman" w:hAnsi="Times New Roman" w:cs="Times New Roman"/>
          <w:lang w:val="tr-TR"/>
          <w:highlight w:val="yellow"/>
          <w:vertAlign w:val="subscript"/>
        </w:rPr>
        <w:t xml:space="preserve">2</w:t>
      </w:r>
      <w:r>
        <w:rPr>
          <w:rFonts w:ascii="Times New Roman" w:hAnsi="Times New Roman" w:cs="Times New Roman"/>
          <w:highlight w:val="yellow"/>
          <w:lang w:val="tr-TR"/>
        </w:rPr>
        <w:t xml:space="preserve"> (3,9·10</w:t>
      </w:r>
      <w:r>
        <w:rPr>
          <w:rFonts w:ascii="Times New Roman" w:hAnsi="Times New Roman" w:cs="Times New Roman"/>
          <w:lang w:val="tr-TR"/>
          <w:highlight w:val="yellow"/>
          <w:vertAlign w:val="superscript"/>
        </w:rPr>
        <w:t xml:space="preserve">-11</w:t>
      </w:r>
      <w:r>
        <w:rPr>
          <w:rFonts w:ascii="Times New Roman" w:hAnsi="Times New Roman" w:cs="Times New Roman"/>
          <w:highlight w:val="yellow"/>
          <w:lang w:val="tr-TR"/>
        </w:rPr>
        <w:t xml:space="preserve">) değerleri de aynı tür tablolardan alınmıştır; özellikle CaF</w:t>
      </w:r>
      <w:r>
        <w:rPr>
          <w:rFonts w:ascii="Times New Roman" w:hAnsi="Times New Roman" w:cs="Times New Roman"/>
          <w:lang w:val="tr-TR"/>
          <w:highlight w:val="yellow"/>
          <w:vertAlign w:val="subscript"/>
        </w:rPr>
        <w:t xml:space="preserve">2</w:t>
      </w:r>
      <w:r>
        <w:rPr>
          <w:rFonts w:ascii="Times New Roman" w:hAnsi="Times New Roman" w:cs="Times New Roman"/>
          <w:highlight w:val="yellow"/>
          <w:lang w:val="tr-TR"/>
        </w:rPr>
        <w:t xml:space="preserve"> için kaynaklarda farklı değerler verildiğinden yayın öncesi kontrol edilmelidir. PbCl</w:t>
      </w:r>
      <w:r>
        <w:rPr>
          <w:rFonts w:ascii="Times New Roman" w:hAnsi="Times New Roman" w:cs="Times New Roman"/>
          <w:lang w:val="tr-TR"/>
          <w:highlight w:val="yellow"/>
          <w:vertAlign w:val="subscript"/>
        </w:rPr>
        <w:t xml:space="preserve">2</w:t>
      </w:r>
      <w:r>
        <w:rPr>
          <w:rFonts w:ascii="Times New Roman" w:hAnsi="Times New Roman" w:cs="Times New Roman"/>
          <w:highlight w:val="yellow"/>
          <w:lang w:val="tr-TR"/>
        </w:rPr>
        <w:t xml:space="preserve"> ve X</w:t>
      </w:r>
      <w:r>
        <w:rPr>
          <w:rFonts w:ascii="Times New Roman" w:hAnsi="Times New Roman" w:cs="Times New Roman"/>
          <w:lang w:val="tr-TR"/>
          <w:highlight w:val="yellow"/>
          <w:vertAlign w:val="subscript"/>
        </w:rPr>
        <w:t xml:space="preserve">2</w:t>
      </w:r>
      <w:r>
        <w:rPr>
          <w:rFonts w:ascii="Times New Roman" w:hAnsi="Times New Roman" w:cs="Times New Roman"/>
          <w:highlight w:val="yellow"/>
          <w:lang w:val="tr-TR"/>
        </w:rPr>
        <w:t xml:space="preserve">Y sorularındaki çözünürlük değerleri öğretim amaçlıdır.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B314C71E"/>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3"/>
    <w:lvlOverride w:ilvl="0">
      <w:startOverride w:val="1"/>
    </w:lvlOverride>
  </w:num>
  <w:num xmlns:a="http://schemas.openxmlformats.org/drawingml/2006/main" xmlns:pic="http://schemas.openxmlformats.org/drawingml/2006/picture" w:numId="56">
    <w:abstractNumId w:val="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