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Asitlerin ve Bazların Kuvveti</w:t>
      </w:r>
    </w:p>
    <w:p>
      <w:pPr>
        <w:jc w:val="both"/>
        <w:rPr>
          <w:rFonts w:ascii="Times New Roman" w:hAnsi="Times New Roman" w:cs="Times New Roman"/>
          <w:lang w:val="tr-TR"/>
        </w:rPr>
      </w:pPr>
      <w:r>
        <w:rPr>
          <w:rFonts w:ascii="Times New Roman" w:hAnsi="Times New Roman" w:cs="Times New Roman"/>
          <w:lang w:val="tr-TR"/>
        </w:rPr>
        <w:t xml:space="preserve">Hidroklorik asit (HCl) metal yüzeylerin temizlenmesinde kullanılır ve cilde temas ettiğinde ciddi yanıklara neden olabilir. Salatalarımıza kattığımız sirke ise asetik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içermesine rağmen güvenle tüketilir (Görsel A). Benzer şekilde lavabo açıcılarda bulunan sodyum hidroksit (NaOH) cildi tahriş ederken cam temizleyicilerde kullanılan amonyak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cildi çok daha az tahriş eder (Görsel B). Aynı derişimdeki iki asit çözeltisinden biri neden diğerinden daha “güçlü” etki gösterir? Asitlerin ve bazların kuvveti neye bağlıdır? Bu soruların cevabını bir etkinlik yaparak keşfediniz. Analiz ve Keşif Atölyesi 2.8.’de bilimsel sorgulama yapacaksınız: Verilerden yola çıkarak araştırma soruları oluşturacak, iyonlaşmayı gösteren modeller geliştirecek ve pH ile iletkenlik ölçümleri yaparak asitlerin ve bazların kuvvetlerini karşılaştıracaksınız. Bulgularınızı bilimsel bilgilerle sınarken analitik düşünme eğiliminizi, açıklamalarınızı grubunuza aktarırken iletişim becerilerinizi kullanacak; farklı fikirlere açık kalıp merakınızın peşinden giderek araştırmacı bir tutum sergileyeceksiniz.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3600"/>
                  <wp:docPr id="900008" name="Picture 900008"/>
                  <wp:cNvGraphicFramePr>
                    <a:graphicFrameLocks noChangeAspect="1"/>
                  </wp:cNvGraphicFramePr>
                  <a:graphic>
                    <a:graphicData uri="http://schemas.openxmlformats.org/drawingml/2006/picture">
                      <pic:pic>
                        <pic:nvPicPr>
                          <pic:cNvPr id="0" name="2603514173_d.jpg"/>
                          <pic:cNvPicPr/>
                        </pic:nvPicPr>
                        <pic:blipFill>
                          <a:blip r:embed="rId11"/>
                          <a:stretch>
                            <a:fillRect/>
                          </a:stretch>
                        </pic:blipFill>
                        <pic:spPr>
                          <a:xfrm>
                            <a:off x="0" y="0"/>
                            <a:ext cx="2664000" cy="1953600"/>
                          </a:xfrm>
                          <a:prstGeom prst="rect"/>
                        </pic:spPr>
                      </pic:pic>
                    </a:graphicData>
                  </a:graphic>
                </wp:inline>
              </w:drawing>
            </w:r>
          </w:p>
          <w:p>
            <w:pPr>
              <w:jc w:val="center"/>
            </w:pPr>
            <w:r>
              <w:rPr>
                <w:rFonts w:ascii="Times New Roman" w:hAnsi="Times New Roman" w:cs="Times New Roman"/>
                <w:b/>
                <w:bCs/>
                <w:highlight w:val="yellow"/>
                <w:lang w:val="tr-TR"/>
              </w:rPr>
              <w:t xml:space="preserve">Shutter id: 2603514173</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Sirke ve salata</w:t>
            </w:r>
          </w:p>
        </w:tc>
        <w:tc>
          <w:tcPr>
            <w:tcW w:w="4500" w:type="dxa"/>
          </w:tcPr>
          <w:p>
            <w:pPr>
              <w:jc w:val="center"/>
            </w:pPr>
            <w:r>
              <w:drawing>
                <wp:inline xmlns:a="http://schemas.openxmlformats.org/drawingml/2006/main" xmlns:pic="http://schemas.openxmlformats.org/drawingml/2006/picture">
                  <wp:extent cx="2664000" cy="1957152"/>
                  <wp:docPr id="900009" name="Picture 900009"/>
                  <wp:cNvGraphicFramePr>
                    <a:graphicFrameLocks noChangeAspect="1"/>
                  </wp:cNvGraphicFramePr>
                  <a:graphic>
                    <a:graphicData uri="http://schemas.openxmlformats.org/drawingml/2006/picture">
                      <pic:pic>
                        <pic:nvPicPr>
                          <pic:cNvPr id="0" name="2838916677_d.jpg"/>
                          <pic:cNvPicPr/>
                        </pic:nvPicPr>
                        <pic:blipFill>
                          <a:blip r:embed="rId12"/>
                          <a:stretch>
                            <a:fillRect/>
                          </a:stretch>
                        </pic:blipFill>
                        <pic:spPr>
                          <a:xfrm>
                            <a:off x="0" y="0"/>
                            <a:ext cx="2664000" cy="1957152"/>
                          </a:xfrm>
                          <a:prstGeom prst="rect"/>
                        </pic:spPr>
                      </pic:pic>
                    </a:graphicData>
                  </a:graphic>
                </wp:inline>
              </w:drawing>
            </w:r>
          </w:p>
          <w:p>
            <w:pPr>
              <w:jc w:val="center"/>
            </w:pPr>
            <w:r>
              <w:rPr>
                <w:rFonts w:ascii="Times New Roman" w:hAnsi="Times New Roman" w:cs="Times New Roman"/>
                <w:b/>
                <w:bCs/>
                <w:highlight w:val="yellow"/>
                <w:lang w:val="tr-TR"/>
              </w:rPr>
              <w:t xml:space="preserve">Shutter id: 2838916677</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Temizlik ürünleri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KIRILABİLİR CAM UYARISI. Ek uyarılar: Amonyak çözeltisinin buharı doğrudan koklanmamalıdır.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Modeller</w:t>
      </w:r>
    </w:p>
    <w:p>
      <w:pPr>
        <w:jc w:val="both"/>
        <w:rPr>
          <w:rFonts w:ascii="Times New Roman" w:hAnsi="Times New Roman" w:cs="Times New Roman"/>
          <w:lang w:val="tr-TR"/>
        </w:rPr>
      </w:pPr>
      <w:r>
        <w:rPr>
          <w:rFonts w:ascii="Times New Roman" w:hAnsi="Times New Roman" w:cs="Times New Roman"/>
          <w:lang w:val="tr-TR"/>
        </w:rPr>
        <w:t xml:space="preserve">Aşağıdaki tabloda 25 °C’de 0,10 M derişimdeki bazı asit ve baz çözeltilerinin iyonlaşma yüzdeleri ve saf suda iyonlaşma denklemleri verilmiştir. İyonlaşma yüzdesi, çözeltideki asit ya da baz taneciklerinin yüzde kaçının iyonlaştığını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200"/>
        <w:gridCol w:w="22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Madde</w:t>
            </w:r>
          </w:p>
        </w:tc>
        <w:tc>
          <w:tcPr>
            <w:tcW w:w="5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Saf suda iyonlaşma denklemi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 (%)</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Verileri kullanarak asitlerin ve bazların kuvvetlerinin belirlenmesine yönelik araştırma soruları oluşturunuz. Çeşitli fikir ve argümanlara açık olunuz; merakınızın peşinden gidiniz.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çözeltileri ile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 için iyonlaşma yüzdelerini dikkate alarak alt mikro seviyede birer model çiziniz. Modelinizde su moleküllerini göstermenize gerek yoktur. Modelinizin altına, her çözeltide baskın olarak bulunan tanecikleri sembollerle ve uygun okla (→ ya da ⇌) gösteren bir denklem yazarak sembolik modelinizi de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Araştırmanın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aynı sıcaklık ve derişimde (0,10 M) hazırlanmış HCl,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çözeltilerinin pH değerlerini pH metre (ya da pH kâğıdı) ile, elektriksel iletkenliklerini iletkenlik ölçer (ya da ampullü basit bir iletkenlik düzeneği) ile ölçünüz. Okulunuzda bu imkân yoksa ölçümleri karekoddaki sanal laboratuvarda yapabilirsiniz. Ölçümlerinizi tabloya kaydediniz. Ölçümlere başlamadan önce grubunuzla birlikte ölçüm sırasını, görev dağılımını ve alacağınız güvenlik önlemlerini içeren kısa bir araştırma planı hazırlayınız.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400"/>
        <w:gridCol w:w="3600"/>
        <w:gridCol w:w="1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(ampul parlaklığı ya da µS/cm)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Kuvvetli/Zayıf</w:t>
            </w: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Ölçtüğünüz pH ve iletkenlik değerlerini iyonlaşma yüzdeleriyle ilişkilendirerek asitlerin ve bazların kuvvetlerini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alt mikro ve sembolik seviyede gösterimlerle (denklem ve modeller) destekleyiniz. Açıklamalarınızı arkadaşlarınızla paylaşırken etkili iletişim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bilimsel bilgilerle karşılaştırarak değerlendiriniz. Bunun için güvenilir bilimsel kaynaklara başvurunuz ve verilerinizi adım adım, analitik bir bakışla gözden geçiriniz. Modelinizde değiştirmeniz gereken noktalar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formu kendinizi değerlendirmek için de kullanabilirsiniz.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Asitlerin ve bazların kuvveti, sulu çözeltilerindeki iyonlaşma yüzdeleriyle ilgilidir. Bir asidin iyonlaşma yüzdesi, asitten gelen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asidin başlangıç derişimine oranının 100 ile çarpılmasıyla; bir bazın iyonlaşma yüzdesi ise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bazın başlangıç derişimine oranının 100 ile çarpılmasıyla bulunur. Suda tamamen (%100) iyonlaştığı kabul edilen asitlere kuvvetli asit, kısmen iyonlaşan asitlere zayıf asit denir. Bazlar için de aynı ölçüt geçerlidir: Suda tamamen iyonlaştığı kabul edilen bazlar kuvvetli baz, kısmen iyonlaşan bazlar ise zayıf bazdır (Grafik A). Kuvvetli asit ve bazların iyonlaşması tek yönlü ok (→), zayıf asit ve bazların iyonlaşması ise denge oku (⇌) ile gösterilir.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590805"/>
            <wp:docPr id="900003" name="Grafik 900003" descr="HBr, HClO4, HCOOH, C6H5COOH, KOH ve CH3NH2 için iyonlaşma yüzde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78689" cy="259080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0,10 M sulu çözeltilerde bazı asit ve bazların iyonlaşma yüzdeleri</w:t>
      </w:r>
    </w:p>
    <w:p>
      <w:pPr>
        <w:jc w:val="both"/>
        <w:rPr>
          <w:rFonts w:ascii="Times New Roman" w:hAnsi="Times New Roman" w:cs="Times New Roman"/>
          <w:lang w:val="tr-TR"/>
        </w:rPr>
      </w:pPr>
      <w:r>
        <w:rPr>
          <w:rFonts w:ascii="Times New Roman" w:hAnsi="Times New Roman" w:cs="Times New Roman"/>
          <w:lang w:val="tr-TR"/>
        </w:rPr>
        <w:t xml:space="preserve">Aynı derişimdeki bir kuvvetli asit çözeltisinde zayıf asit çözeltisine göre çok daha fazla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bulunur (Görsel C). Örneğin 25 °C’de 0,10 M HBr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mol/L iken %2,5 oranında iyonlaşan 0,10 M benzoik asit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COOH)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2,5·10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mol/L’dir. Bu nedenle aynı derişimdeki zayıf asit çözeltisinin pH değeri kuvvetli asit çözeltisininkinden büyüktür. Çözeltideki iyon sayısı fazla olduğu için kuvvetli asit ve baz çözeltilerinin elektrik iletkenliği de aynı derişimdeki zayıf asit ve baz çözeltilerininkinden yüksektir. Kuvvetli asit ve bazların sulu çözeltileri kuvvetli elektrolit, zayıf asit ve bazların sulu çözeltileri ise zayıf elektrolittir. Yaygın kuvvetli asit ve bazlar Tablo A’da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41714"/>
            <wp:docPr id="900004" name="Grafik 900004" descr="Kuvvetli (HBr) ve zayıf (HCOOH) asit model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80000" cy="29417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Aynı derişimdeki kuvvetli asit (HBr) ve zayıf asit (HCOOH) çözeltilerinin alt mikro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su molekülleri gösterilmemiştir, yayınevi vektörel olarak yeniden çizebilir.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Yaygın kuvvetli asitler ve kuvvetli bazlar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asitler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bazlar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HBr, HI</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LiOH, NaOH, KOH</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Sr(OH)</w:t>
            </w:r>
            <w:r>
              <w:rPr>
                <w:rFonts w:ascii="Times New Roman" w:hAnsi="Times New Roman" w:cs="Times New Roman"/>
                <w:vertAlign w:val="subscript"/>
                <w:lang w:val="tr-TR"/>
              </w:rPr>
              <w:t xml:space="preserve">2</w:t>
            </w:r>
            <w:r>
              <w:rPr>
                <w:rFonts w:ascii="Times New Roman" w:hAnsi="Times New Roman" w:cs="Times New Roman"/>
                <w:lang w:val="tr-TR"/>
              </w:rPr>
              <w:t xml:space="preserve">, Ba(OH)</w:t>
            </w:r>
            <w:r>
              <w:rPr>
                <w:rFonts w:ascii="Times New Roman" w:hAnsi="Times New Roman" w:cs="Times New Roman"/>
                <w:vertAlign w:val="subscript"/>
                <w:lang w:val="tr-TR"/>
              </w:rPr>
              <w:t xml:space="preserve">2</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(birinci iyonlaşma), HClO</w:t>
            </w:r>
            <w:r>
              <w:rPr>
                <w:rFonts w:ascii="Times New Roman" w:hAnsi="Times New Roman" w:cs="Times New Roman"/>
                <w:vertAlign w:val="subscript"/>
                <w:lang w:val="tr-TR"/>
              </w:rPr>
              <w:t xml:space="preserve">4</w:t>
            </w: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iki zayıf asitten hangisinin daha kuvvetli olduğuna nasıl karar verilebilir? İyonlaşma yüzdesi çözeltinin derişimine bağlıdır. Örneğin 25 °C’de benzoik asit 0,10 M çözeltide yaklaşık %2,5, 0,0010 M çözeltide ise yaklaşık %22 oranında iyonlaşır. Bu nedenle karşılaştırma için sabit sıcaklıkta derişimden bağımsız bir ölçüte ihtiyaç vardır. Zayıf asit ve bazların iyonlaşması bir denge tepkimesi olduğu için bu dengelerin denge sabitleri asit ve bazların kuvvetini karşılaştırmada kullanılır. Bir zayıf asidin iyonlaşma tepkimesinin denge sabitine asitlik sabiti (K</w:t>
      </w:r>
      <w:r>
        <w:rPr>
          <w:rFonts w:ascii="Times New Roman" w:hAnsi="Times New Roman" w:cs="Times New Roman"/>
          <w:lang w:val="tr-TR"/>
          <w:vertAlign w:val="subscript"/>
        </w:rPr>
        <w:t xml:space="preserve">a</w:t>
      </w:r>
      <w:r>
        <w:rPr>
          <w:rFonts w:ascii="Times New Roman" w:hAnsi="Times New Roman" w:cs="Times New Roman"/>
          <w:lang w:val="tr-TR"/>
        </w:rPr>
        <w:t xml:space="preserve">), bir zayıf bazın iyonlaşma tepkimesinin denge sabitine bazlık sabiti (K</w:t>
      </w:r>
      <w:r>
        <w:rPr>
          <w:rFonts w:ascii="Times New Roman" w:hAnsi="Times New Roman" w:cs="Times New Roman"/>
          <w:lang w:val="tr-TR"/>
          <w:vertAlign w:val="subscript"/>
        </w:rPr>
        <w:t xml:space="preserve">b</w:t>
      </w:r>
      <w:r>
        <w:rPr>
          <w:rFonts w:ascii="Times New Roman" w:hAnsi="Times New Roman" w:cs="Times New Roman"/>
          <w:lang w:val="tr-TR"/>
        </w:rPr>
        <w:t xml:space="preserve">) denir. K</w:t>
      </w:r>
      <w:r>
        <w:rPr>
          <w:rFonts w:ascii="Times New Roman" w:hAnsi="Times New Roman" w:cs="Times New Roman"/>
          <w:lang w:val="tr-TR"/>
          <w:vertAlign w:val="subscript"/>
        </w:rPr>
        <w:t xml:space="preserve">a</w:t>
      </w:r>
      <w:r>
        <w:rPr>
          <w:rFonts w:ascii="Times New Roman" w:hAnsi="Times New Roman" w:cs="Times New Roman"/>
          <w:lang w:val="tr-TR"/>
        </w:rPr>
        <w:t xml:space="preserve"> ve K</w:t>
      </w:r>
      <w:r>
        <w:rPr>
          <w:rFonts w:ascii="Times New Roman" w:hAnsi="Times New Roman" w:cs="Times New Roman"/>
          <w:lang w:val="tr-TR"/>
          <w:vertAlign w:val="subscript"/>
        </w:rPr>
        <w:t xml:space="preserve">b</w:t>
      </w:r>
      <w:r>
        <w:rPr>
          <w:rFonts w:ascii="Times New Roman" w:hAnsi="Times New Roman" w:cs="Times New Roman"/>
          <w:lang w:val="tr-TR"/>
        </w:rPr>
        <w:t xml:space="preserve"> de K</w:t>
      </w:r>
      <w:r>
        <w:rPr>
          <w:rFonts w:ascii="Times New Roman" w:hAnsi="Times New Roman" w:cs="Times New Roman"/>
          <w:lang w:val="tr-TR"/>
          <w:vertAlign w:val="subscript"/>
        </w:rPr>
        <w:t xml:space="preserve">c</w:t>
      </w:r>
      <w:r>
        <w:rPr>
          <w:rFonts w:ascii="Times New Roman" w:hAnsi="Times New Roman" w:cs="Times New Roman"/>
          <w:lang w:val="tr-TR"/>
        </w:rPr>
        <w:t xml:space="preserve"> gibi yalnızca sıcaklıkla değişir. Aynı sıcaklıkta K</w:t>
      </w:r>
      <w:r>
        <w:rPr>
          <w:rFonts w:ascii="Times New Roman" w:hAnsi="Times New Roman" w:cs="Times New Roman"/>
          <w:lang w:val="tr-TR"/>
          <w:vertAlign w:val="subscript"/>
        </w:rPr>
        <w:t xml:space="preserve">a</w:t>
      </w:r>
      <w:r>
        <w:rPr>
          <w:rFonts w:ascii="Times New Roman" w:hAnsi="Times New Roman" w:cs="Times New Roman"/>
          <w:lang w:val="tr-TR"/>
        </w:rPr>
        <w:t xml:space="preserve"> ya da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değeri büyüdükçe asidin ya da bazın kuvveti artar (Tablo B).</w:t>
      </w:r>
    </w:p>
    <w:p>
      <w:pPr>
        <w:jc w:val="center"/>
        <w:rPr>
          <w:rFonts w:ascii="Times New Roman" w:hAnsi="Times New Roman" w:cs="Times New Roman"/>
          <w:lang w:val="tr-TR"/>
        </w:rPr>
      </w:pPr>
      <w:r>
        <w:rPr>
          <w:rFonts w:ascii="Times New Roman" w:hAnsi="Times New Roman" w:cs="Times New Roman"/>
          <w:lang w:val="tr-TR"/>
        </w:rPr>
        <w:t xml:space="preserve">HA(suda)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[HA]</w:t>
              </m:r>
            </m:den>
          </m:f>
          <m:r>
            <m:rPr>
              <m:sty m:val="p"/>
            </m:rPr>
            <w:rPr>
              <w:rFonts w:ascii="Cambria Math" w:hAnsi="Cambria Math" w:cs="Cambria Math"/>
              <w:lang w:val="tr-TR"/>
            </w:rPr>
            <w:t xml:space="preserve">          </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NH₄</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w:t>
              </m:r>
              <m:sSub>
                <m:e>
                  <m:r>
                    <m:rPr>
                      <m:sty m:val="p"/>
                    </m:rPr>
                    <w:rPr>
                      <w:rFonts w:ascii="Cambria Math" w:hAnsi="Cambria Math" w:cs="Cambria Math"/>
                      <w:lang w:val="tr-TR"/>
                    </w:rPr>
                    <w:t xml:space="preserve">NH</w:t>
                  </m:r>
                </m:e>
                <m:sub>
                  <m:r>
                    <m:rPr>
                      <m:sty m:val="p"/>
                    </m:rPr>
                    <w:rPr>
                      <w:rFonts w:ascii="Cambria Math" w:hAnsi="Cambria Math" w:cs="Cambria Math"/>
                      <w:lang w:val="tr-TR"/>
                    </w:rPr>
                    <w:t xml:space="preserve">3</w:t>
                  </m:r>
                </m:sub>
              </m:sSub>
              <m:r>
                <m:rPr>
                  <m:sty m:val="p"/>
                </m:rPr>
                <w:rPr>
                  <w:rFonts w:ascii="Cambria Math" w:hAnsi="Cambria Math" w:cs="Cambria Math"/>
                  <w:lang w:val="tr-TR"/>
                </w:rPr>
                <w:t xml:space="preserve">]</w:t>
              </m:r>
            </m:den>
          </m:f>
        </m:oMath>
      </m:oMathPara>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zayıf asit ve bazların 25 °C’deki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asit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baz</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b</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NH</w:t>
            </w:r>
            <w:r>
              <w:rPr>
                <w:rFonts w:ascii="Times New Roman" w:hAnsi="Times New Roman" w:cs="Times New Roman"/>
                <w:vertAlign w:val="subscript"/>
                <w:lang w:val="tr-TR"/>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4,4·10</w:t>
            </w:r>
            <w:r>
              <w:rPr>
                <w:rFonts w:ascii="Times New Roman" w:hAnsi="Times New Roman" w:cs="Times New Roman"/>
                <w:vertAlign w:val="superscript"/>
                <w:lang w:val="tr-TR"/>
              </w:rPr>
              <w:t xml:space="preserve">-4</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N (piridin)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1,7·10</w:t>
            </w:r>
            <w:r>
              <w:rPr>
                <w:rFonts w:ascii="Times New Roman" w:hAnsi="Times New Roman" w:cs="Times New Roman"/>
                <w:vertAlign w:val="superscript"/>
                <w:lang w:val="tr-TR"/>
              </w:rPr>
              <w:t xml:space="preserve">-9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6,2·10</w:t>
            </w:r>
            <w:r>
              <w:rPr>
                <w:rFonts w:ascii="Times New Roman" w:hAnsi="Times New Roman" w:cs="Times New Roman"/>
                <w:vertAlign w:val="superscript"/>
                <w:lang w:val="tr-TR"/>
              </w:rPr>
              <w:t xml:space="preserve">-10</w:t>
            </w:r>
          </w:p>
        </w:tc>
        <w:tc>
          <w:tcPr>
            <w:tcW w:w="24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bir asidin kuvveti ile eşlenik bazının kuvveti arasında nasıl bir ilişki vardır? HBr’nin suda iyonlaşması tek yönlüdür; geri tepkime neredeyse hiç gerçekleşmediğine göre eşlenik baz Br</w:t>
      </w:r>
      <w:r>
        <w:rPr>
          <w:rFonts w:ascii="Times New Roman" w:hAnsi="Times New Roman" w:cs="Times New Roman"/>
          <w:lang w:val="tr-TR"/>
          <w:vertAlign w:val="superscript"/>
        </w:rPr>
        <w:t xml:space="preserve">−</w:t>
      </w:r>
      <w:r>
        <w:rPr>
          <w:rFonts w:ascii="Times New Roman" w:hAnsi="Times New Roman" w:cs="Times New Roman"/>
          <w:lang w:val="tr-TR"/>
        </w:rPr>
        <w:t xml:space="preserve"> suda proton alma eğilimi göstermez. Zayıf bir asit olan HCOOH’ın iyonlaşması ise denge okuyla gösterilir; eşlenik bazı HCOO</w:t>
      </w:r>
      <w:r>
        <w:rPr>
          <w:rFonts w:ascii="Times New Roman" w:hAnsi="Times New Roman" w:cs="Times New Roman"/>
          <w:lang w:val="tr-TR"/>
          <w:vertAlign w:val="superscript"/>
        </w:rPr>
        <w:t xml:space="preserve">−</w:t>
      </w:r>
      <w:r>
        <w:rPr>
          <w:rFonts w:ascii="Times New Roman" w:hAnsi="Times New Roman" w:cs="Times New Roman"/>
          <w:lang w:val="tr-TR"/>
        </w:rPr>
        <w:t xml:space="preserve"> geri tepkimede proton alabilir ve sudan proton alarak bazik özellik gösterebilir. Buna göre bir asit ne kadar kuvvetliyse eşlenik bazı o kadar zayıftır. Asitlerin kuvvetini “derişik” ya da “seyreltik” kavramlarıyla karıştırmamak gerekir: Derişim çözeltideki madde miktarını, kuvvet ise maddenin iyonlaşma eğilimini ifade eder. Örneğin 6 M HCOOH çözeltisi derişik ancak zayıf, 0,001 M HBr çözeltisi seyreltik ancak kuvvetli bir asit çözeltisidir.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25 °C’de 0,10 M HCOOH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olarak ölçülmüştür. HCOOH’ın iyonlaşma yüzdesini hesaplayınız ve aynı derişimdeki HBr çözeltisiyle kuvvet bakımından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İyonlaşma yüzdesi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[HCOOH]başlangıç</w:t>
              </m:r>
            </m:den>
          </m:f>
          <m:r>
            <m:rPr>
              <m:sty m:val="p"/>
            </m:rPr>
            <w:rPr>
              <w:rFonts w:ascii="Cambria Math" w:hAnsi="Cambria Math" w:cs="Cambria Math"/>
              <w:lang w:val="tr-TR"/>
            </w:rPr>
            <w:t xml:space="preserve"> · 100 = </w:t>
          </m:r>
          <m:f>
            <m:num>
              <m:r>
                <m:rPr>
                  <m:sty m:val="p"/>
                </m:rPr>
                <w:rPr>
                  <w:rFonts w:ascii="Cambria Math" w:hAnsi="Cambria Math" w:cs="Cambria Math"/>
                  <w:lang w:val="tr-TR"/>
                </w:rPr>
                <w:t xml:space="preserve">4,2·10⁻³</w:t>
              </m:r>
            </m:num>
            <m:den>
              <m:r>
                <m:rPr>
                  <m:sty m:val="p"/>
                </m:rPr>
                <w:rPr>
                  <w:rFonts w:ascii="Cambria Math" w:hAnsi="Cambria Math" w:cs="Cambria Math"/>
                  <w:lang w:val="tr-TR"/>
                </w:rPr>
                <w:t xml:space="preserve">0,10</w:t>
              </m:r>
            </m:den>
          </m:f>
          <m:r>
            <m:rPr>
              <m:sty m:val="p"/>
            </m:rPr>
            <w:rPr>
              <w:rFonts w:ascii="Cambria Math" w:hAnsi="Cambria Math" w:cs="Cambria Math"/>
              <w:lang w:val="tr-TR"/>
            </w:rPr>
            <w:t xml:space="preserve"> · 100 = %4,2</w:t>
          </m:r>
        </m:oMath>
      </m:oMathPara>
    </w:p>
    <w:p>
      <w:pPr>
        <w:jc w:val="both"/>
        <w:rPr>
          <w:rFonts w:ascii="Times New Roman" w:hAnsi="Times New Roman" w:cs="Times New Roman"/>
          <w:lang w:val="tr-TR"/>
        </w:rPr>
      </w:pPr>
      <w:r>
        <w:rPr>
          <w:rFonts w:ascii="Times New Roman" w:hAnsi="Times New Roman" w:cs="Times New Roman"/>
          <w:lang w:val="tr-TR"/>
        </w:rPr>
        <w:t xml:space="preserve">HBr ise suda yaklaşık %100 iyonlaşır. Bu nedenle HBr kuvvetli, HCOOH zayıf bir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Aynı derişimdeki HI çözeltisinin elektrik iletkenliği HCN çözeltisininkinden büyüktür.</w:t>
      </w:r>
    </w:p>
    <w:p>
      <w:pPr>
        <w:ind w:left="720"/>
        <w:jc w:val="both"/>
        <w:rPr>
          <w:rFonts w:ascii="Times New Roman" w:hAnsi="Times New Roman" w:cs="Times New Roman"/>
          <w:lang w:val="tr-TR"/>
        </w:rPr>
      </w:pPr>
      <w:r>
        <w:rPr>
          <w:rFonts w:ascii="Times New Roman" w:hAnsi="Times New Roman" w:cs="Times New Roman"/>
          <w:lang w:val="tr-TR"/>
        </w:rPr>
        <w:t xml:space="preserve">(  ) Derişik bir asit çözeltisi her zaman kuvvetli bir asit çözeltisidir.</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 büyük olan asit daha kuvvetlidir.</w:t>
      </w:r>
    </w:p>
    <w:p>
      <w:pPr>
        <w:ind w:left="720"/>
        <w:jc w:val="both"/>
        <w:rPr>
          <w:rFonts w:ascii="Times New Roman" w:hAnsi="Times New Roman" w:cs="Times New Roman"/>
          <w:lang w:val="tr-TR"/>
        </w:rPr>
      </w:pP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suda tamamen iyonlaşan bir bazdır.</w:t>
      </w:r>
    </w:p>
    <w:p>
      <w:pPr>
        <w:ind w:left="720"/>
        <w:jc w:val="both"/>
        <w:rPr>
          <w:rFonts w:ascii="Times New Roman" w:hAnsi="Times New Roman" w:cs="Times New Roman"/>
          <w:lang w:val="tr-TR"/>
        </w:rPr>
      </w:pPr>
      <w:r>
        <w:rPr>
          <w:rFonts w:ascii="Times New Roman" w:hAnsi="Times New Roman" w:cs="Times New Roman"/>
          <w:lang w:val="tr-TR"/>
        </w:rPr>
        <w:t xml:space="preserve">(  ) Kuvvetli bir asidin eşlenik bazı zayıftır.</w:t>
      </w:r>
    </w:p>
    <w:p>
      <w:pPr>
        <w:jc w:val="both"/>
        <w:rPr>
          <w:rFonts w:ascii="Times New Roman" w:hAnsi="Times New Roman" w:cs="Times New Roman"/>
          <w:lang w:val="tr-TR"/>
        </w:rPr>
      </w:pPr>
      <w:r>
        <w:rPr>
          <w:rFonts w:ascii="Times New Roman" w:hAnsi="Times New Roman" w:cs="Times New Roman"/>
          <w:lang w:val="tr-TR"/>
        </w:rPr>
        <w:t xml:space="preserve">2. Tablo B’deki zayıf asitleri kuvvetlerine göre büyükten küçüğe sıralayınız. Eşlenik bazlarından hangisi en kuvvetlidir?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25 °C’de 0,10 M HA çözeltisinin pH değeri 3,0’tür. HA’nın iyonlaşma yüzdesini hesaplayınız. HA kuvvetli mi zayıf mı bir asittir?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Aynı derişimdeki KOH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çözeltilerinin alt mikro seviyedeki gösterimlerini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sıcaklık ve derişimdeki farklı asit ve baz çözeltilerinin pH ve iletkenlik değerlerini ölçebileceğiniz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highlight w:val="yellow"/>
          <w:lang w:val="tr-TR"/>
        </w:rPr>
        <w:t xml:space="preserve">NOT: K</w:t>
      </w:r>
      <w:r>
        <w:rPr>
          <w:rFonts w:ascii="Times New Roman" w:hAnsi="Times New Roman" w:cs="Times New Roman"/>
          <w:lang w:val="tr-TR"/>
          <w:highlight w:val="yellow"/>
          <w:vertAlign w:val="subscript"/>
        </w:rPr>
        <w:t xml:space="preserve">a</w:t>
      </w:r>
      <w:r>
        <w:rPr>
          <w:rFonts w:ascii="Times New Roman" w:hAnsi="Times New Roman" w:cs="Times New Roman"/>
          <w:highlight w:val="yellow"/>
          <w:lang w:val="tr-TR"/>
        </w:rPr>
        <w:t xml:space="preserve"> ve K</w:t>
      </w:r>
      <w:r>
        <w:rPr>
          <w:rFonts w:ascii="Times New Roman" w:hAnsi="Times New Roman" w:cs="Times New Roman"/>
          <w:lang w:val="tr-TR"/>
          <w:highlight w:val="yellow"/>
          <w:vertAlign w:val="subscript"/>
        </w:rPr>
        <w:t xml:space="preserve">b</w:t>
      </w:r>
      <w:r>
        <w:rPr>
          <w:rFonts w:ascii="Times New Roman" w:hAnsi="Times New Roman" w:cs="Times New Roman"/>
          <w:highlight w:val="yellow"/>
          <w:lang w:val="tr-TR"/>
        </w:rPr>
        <w:t xml:space="preserve"> değerleri genel kimya kaynaklarındaki 25 °C değerleridir (HF için 6,8·10</w:t>
      </w:r>
      <w:r>
        <w:rPr>
          <w:rFonts w:ascii="Times New Roman" w:hAnsi="Times New Roman" w:cs="Times New Roman"/>
          <w:lang w:val="tr-TR"/>
          <w:highlight w:val="yellow"/>
          <w:vertAlign w:val="superscript"/>
        </w:rPr>
        <w:t xml:space="preserve">-4</w:t>
      </w:r>
      <w:r>
        <w:rPr>
          <w:rFonts w:ascii="Times New Roman" w:hAnsi="Times New Roman" w:cs="Times New Roman"/>
          <w:highlight w:val="yellow"/>
          <w:lang w:val="tr-TR"/>
        </w:rPr>
        <w:t xml:space="preserve"> kullanıldı; bazı kaynaklarda 7,2·10</w:t>
      </w:r>
      <w:r>
        <w:rPr>
          <w:rFonts w:ascii="Times New Roman" w:hAnsi="Times New Roman" w:cs="Times New Roman"/>
          <w:lang w:val="tr-TR"/>
          <w:highlight w:val="yellow"/>
          <w:vertAlign w:val="superscript"/>
        </w:rPr>
        <w:t xml:space="preserve">-4</w:t>
      </w:r>
      <w:r>
        <w:rPr>
          <w:rFonts w:ascii="Times New Roman" w:hAnsi="Times New Roman" w:cs="Times New Roman"/>
          <w:highlight w:val="yellow"/>
          <w:lang w:val="tr-TR"/>
        </w:rPr>
        <w:t xml:space="preserve">). Bilgi metnindeki örneklerde benzoik asit (C</w:t>
      </w:r>
      <w:r>
        <w:rPr>
          <w:rFonts w:ascii="Times New Roman" w:hAnsi="Times New Roman" w:cs="Times New Roman"/>
          <w:lang w:val="tr-TR"/>
          <w:highlight w:val="yellow"/>
          <w:vertAlign w:val="subscript"/>
        </w:rPr>
        <w:t xml:space="preserve">6</w:t>
      </w:r>
      <w:r>
        <w:rPr>
          <w:rFonts w:ascii="Times New Roman" w:hAnsi="Times New Roman" w:cs="Times New Roman"/>
          <w:highlight w:val="yellow"/>
          <w:lang w:val="tr-TR"/>
        </w:rPr>
        <w:t xml:space="preserve">H</w:t>
      </w:r>
      <w:r>
        <w:rPr>
          <w:rFonts w:ascii="Times New Roman" w:hAnsi="Times New Roman" w:cs="Times New Roman"/>
          <w:lang w:val="tr-TR"/>
          <w:highlight w:val="yellow"/>
          <w:vertAlign w:val="subscript"/>
        </w:rPr>
        <w:t xml:space="preserve">5</w:t>
      </w:r>
      <w:r>
        <w:rPr>
          <w:rFonts w:ascii="Times New Roman" w:hAnsi="Times New Roman" w:cs="Times New Roman"/>
          <w:highlight w:val="yellow"/>
          <w:lang w:val="tr-TR"/>
        </w:rPr>
        <w:t xml:space="preserve">COOH) için K</w:t>
      </w:r>
      <w:r>
        <w:rPr>
          <w:rFonts w:ascii="Times New Roman" w:hAnsi="Times New Roman" w:cs="Times New Roman"/>
          <w:lang w:val="tr-TR"/>
          <w:highlight w:val="yellow"/>
          <w:vertAlign w:val="subscript"/>
        </w:rPr>
        <w:t xml:space="preserve">a</w:t>
      </w:r>
      <w:r>
        <w:rPr>
          <w:rFonts w:ascii="Times New Roman" w:hAnsi="Times New Roman" w:cs="Times New Roman"/>
          <w:highlight w:val="yellow"/>
          <w:lang w:val="tr-TR"/>
        </w:rPr>
        <w:t xml:space="preserve"> = 6,3·10</w:t>
      </w:r>
      <w:r>
        <w:rPr>
          <w:rFonts w:ascii="Times New Roman" w:hAnsi="Times New Roman" w:cs="Times New Roman"/>
          <w:lang w:val="tr-TR"/>
          <w:highlight w:val="yellow"/>
          <w:vertAlign w:val="superscript"/>
        </w:rPr>
        <w:t xml:space="preserve">-5</w:t>
      </w:r>
      <w:r>
        <w:rPr>
          <w:rFonts w:ascii="Times New Roman" w:hAnsi="Times New Roman" w:cs="Times New Roman"/>
          <w:highlight w:val="yellow"/>
          <w:lang w:val="tr-TR"/>
        </w:rPr>
        <w:t xml:space="preserve"> alınmıştır. İyonlaşma yüzdeleri bu değerlerle, x</w:t>
      </w:r>
      <w:r>
        <w:rPr>
          <w:rFonts w:ascii="Times New Roman" w:hAnsi="Times New Roman" w:cs="Times New Roman"/>
          <w:lang w:val="tr-TR"/>
          <w:highlight w:val="yellow"/>
          <w:vertAlign w:val="superscript"/>
        </w:rPr>
        <w:t xml:space="preserve">2</w:t>
      </w:r>
      <w:r>
        <w:rPr>
          <w:rFonts w:ascii="Times New Roman" w:hAnsi="Times New Roman" w:cs="Times New Roman"/>
          <w:highlight w:val="yellow"/>
          <w:lang w:val="tr-TR"/>
        </w:rPr>
        <w:t xml:space="preserve">/(C − x) = K eşitliğinin tam çözümüyle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